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141"/>
        <w:gridCol w:w="914"/>
        <w:gridCol w:w="711"/>
        <w:gridCol w:w="777"/>
        <w:gridCol w:w="250"/>
        <w:gridCol w:w="1853"/>
        <w:gridCol w:w="2070"/>
        <w:gridCol w:w="425"/>
        <w:gridCol w:w="3265"/>
      </w:tblGrid>
      <w:tr w:rsidR="00305D9D" w14:paraId="5711B7C6" w14:textId="77777777" w:rsidTr="00305D9D">
        <w:trPr>
          <w:trHeight w:val="1890"/>
          <w:jc w:val="center"/>
        </w:trPr>
        <w:tc>
          <w:tcPr>
            <w:tcW w:w="8255" w:type="dxa"/>
            <w:gridSpan w:val="9"/>
            <w:shd w:val="clear" w:color="auto" w:fill="2F5496" w:themeFill="accent1" w:themeFillShade="BF"/>
            <w:vAlign w:val="center"/>
          </w:tcPr>
          <w:p w14:paraId="5C82C8E2" w14:textId="2C7078F5" w:rsidR="00B7774C" w:rsidRPr="009318E1" w:rsidRDefault="0056282D">
            <w:pPr>
              <w:rPr>
                <w:b/>
                <w:color w:val="FFFFFF" w:themeColor="background1"/>
                <w:sz w:val="40"/>
                <w:szCs w:val="40"/>
              </w:rPr>
            </w:pPr>
            <w:r>
              <w:rPr>
                <w:b/>
                <w:color w:val="FFFFFF" w:themeColor="background1"/>
                <w:sz w:val="40"/>
                <w:szCs w:val="40"/>
              </w:rPr>
              <w:t xml:space="preserve">CXDNA </w:t>
            </w:r>
            <w:r w:rsidR="00305D9D">
              <w:rPr>
                <w:b/>
                <w:color w:val="FFFFFF" w:themeColor="background1"/>
                <w:sz w:val="40"/>
                <w:szCs w:val="40"/>
              </w:rPr>
              <w:t xml:space="preserve">Playbook </w:t>
            </w:r>
            <w:r>
              <w:rPr>
                <w:b/>
                <w:color w:val="FFFFFF" w:themeColor="background1"/>
                <w:sz w:val="40"/>
                <w:szCs w:val="40"/>
              </w:rPr>
              <w:t>Partner Program</w:t>
            </w:r>
            <w:r w:rsidR="000576F5" w:rsidRPr="009318E1">
              <w:rPr>
                <w:b/>
                <w:color w:val="FFFFFF" w:themeColor="background1"/>
                <w:sz w:val="40"/>
                <w:szCs w:val="40"/>
              </w:rPr>
              <w:t>℠</w:t>
            </w:r>
          </w:p>
          <w:p w14:paraId="275DF94F" w14:textId="79B27EAB" w:rsidR="009D5F29" w:rsidRDefault="0056282D">
            <w:pPr>
              <w:rPr>
                <w:b/>
                <w:color w:val="FFFFFF" w:themeColor="background1"/>
                <w:sz w:val="40"/>
                <w:szCs w:val="40"/>
              </w:rPr>
            </w:pPr>
            <w:r>
              <w:rPr>
                <w:b/>
                <w:color w:val="FFFFFF" w:themeColor="background1"/>
                <w:sz w:val="40"/>
                <w:szCs w:val="40"/>
              </w:rPr>
              <w:t>Add Value to Your Services</w:t>
            </w:r>
          </w:p>
          <w:p w14:paraId="71B0A13D" w14:textId="77777777" w:rsidR="00305D9D" w:rsidRPr="005A7CBC" w:rsidRDefault="00305D9D" w:rsidP="0056282D">
            <w:pPr>
              <w:rPr>
                <w:b/>
                <w:color w:val="FFFFFF" w:themeColor="background1"/>
                <w:sz w:val="28"/>
                <w:szCs w:val="28"/>
              </w:rPr>
            </w:pPr>
          </w:p>
          <w:p w14:paraId="4475EB38" w14:textId="0C8BFE8A" w:rsidR="0056282D" w:rsidRPr="005A7CBC" w:rsidRDefault="0056282D" w:rsidP="0056282D">
            <w:pPr>
              <w:rPr>
                <w:b/>
                <w:color w:val="FFFFFF" w:themeColor="background1"/>
                <w:sz w:val="28"/>
                <w:szCs w:val="28"/>
              </w:rPr>
            </w:pPr>
            <w:r w:rsidRPr="005A7CBC">
              <w:rPr>
                <w:b/>
                <w:color w:val="FFFFFF" w:themeColor="background1"/>
                <w:sz w:val="28"/>
                <w:szCs w:val="28"/>
              </w:rPr>
              <w:t xml:space="preserve">Groundbreaking Customer Satisfaction Award </w:t>
            </w:r>
          </w:p>
          <w:p w14:paraId="19AC265F" w14:textId="20268857" w:rsidR="0056282D" w:rsidRPr="005A7CBC" w:rsidRDefault="0056282D" w:rsidP="0056282D">
            <w:pPr>
              <w:rPr>
                <w:b/>
                <w:color w:val="FFFFFF" w:themeColor="background1"/>
                <w:sz w:val="28"/>
                <w:szCs w:val="28"/>
              </w:rPr>
            </w:pPr>
            <w:r w:rsidRPr="005A7CBC">
              <w:rPr>
                <w:b/>
                <w:color w:val="FFFFFF" w:themeColor="background1"/>
                <w:sz w:val="28"/>
                <w:szCs w:val="28"/>
              </w:rPr>
              <w:t>Marks 20th Anniversary</w:t>
            </w:r>
          </w:p>
          <w:p w14:paraId="014929BB" w14:textId="77777777" w:rsidR="00305D9D" w:rsidRPr="00305D9D" w:rsidRDefault="00305D9D" w:rsidP="0056282D">
            <w:pPr>
              <w:rPr>
                <w:b/>
                <w:color w:val="FFFFFF" w:themeColor="background1"/>
                <w:sz w:val="10"/>
                <w:szCs w:val="10"/>
              </w:rPr>
            </w:pPr>
          </w:p>
          <w:p w14:paraId="0540967E" w14:textId="7E888D6E" w:rsidR="00305D9D" w:rsidRPr="005A7CBC" w:rsidRDefault="00305D9D" w:rsidP="00305D9D">
            <w:pPr>
              <w:rPr>
                <w:b/>
                <w:color w:val="FFFFFF" w:themeColor="background1"/>
                <w:sz w:val="20"/>
                <w:szCs w:val="20"/>
              </w:rPr>
            </w:pPr>
            <w:r w:rsidRPr="005A7CBC">
              <w:rPr>
                <w:b/>
                <w:color w:val="FFFFFF" w:themeColor="background1"/>
                <w:sz w:val="20"/>
                <w:szCs w:val="20"/>
              </w:rPr>
              <w:t>NorthFace ScoreBoard Award</w:t>
            </w:r>
            <w:r w:rsidR="005A7CBC" w:rsidRPr="005A7CBC">
              <w:rPr>
                <w:b/>
                <w:color w:val="FFFFFF" w:themeColor="background1"/>
                <w:sz w:val="20"/>
                <w:szCs w:val="20"/>
              </w:rPr>
              <w:t>℠</w:t>
            </w:r>
            <w:r w:rsidRPr="005A7CBC">
              <w:rPr>
                <w:b/>
                <w:color w:val="FFFFFF" w:themeColor="background1"/>
                <w:sz w:val="20"/>
                <w:szCs w:val="20"/>
              </w:rPr>
              <w:t xml:space="preserve"> Established Defining SBI Metrics for</w:t>
            </w:r>
          </w:p>
          <w:p w14:paraId="5A5DD532" w14:textId="77777777" w:rsidR="00305D9D" w:rsidRPr="005A7CBC" w:rsidRDefault="00305D9D" w:rsidP="00305D9D">
            <w:pPr>
              <w:rPr>
                <w:b/>
                <w:color w:val="FFFFFF" w:themeColor="background1"/>
                <w:sz w:val="20"/>
                <w:szCs w:val="20"/>
              </w:rPr>
            </w:pPr>
            <w:r w:rsidRPr="005A7CBC">
              <w:rPr>
                <w:b/>
                <w:color w:val="FFFFFF" w:themeColor="background1"/>
                <w:sz w:val="20"/>
                <w:szCs w:val="20"/>
              </w:rPr>
              <w:t>Creating World-Class Excellence in Customer Service and Support</w:t>
            </w:r>
          </w:p>
          <w:p w14:paraId="2609C64C" w14:textId="215BD096" w:rsidR="00305D9D" w:rsidRPr="00305D9D" w:rsidRDefault="00305D9D" w:rsidP="00305D9D">
            <w:pPr>
              <w:rPr>
                <w:b/>
                <w:color w:val="FFFFFF" w:themeColor="background1"/>
                <w:sz w:val="28"/>
                <w:szCs w:val="28"/>
              </w:rPr>
            </w:pPr>
          </w:p>
        </w:tc>
        <w:tc>
          <w:tcPr>
            <w:tcW w:w="3265" w:type="dxa"/>
            <w:shd w:val="clear" w:color="auto" w:fill="2F5496" w:themeFill="accent1" w:themeFillShade="BF"/>
            <w:vAlign w:val="center"/>
          </w:tcPr>
          <w:p w14:paraId="60091259" w14:textId="3F80A0B6" w:rsidR="00297E48" w:rsidRPr="00AE7887" w:rsidRDefault="00305D9D" w:rsidP="004D7617">
            <w:pPr>
              <w:jc w:val="center"/>
              <w:rPr>
                <w:color w:val="FFFFFF" w:themeColor="background1"/>
              </w:rPr>
            </w:pPr>
            <w:r>
              <w:rPr>
                <w:noProof/>
                <w:color w:val="FFFFFF" w:themeColor="background1"/>
              </w:rPr>
              <w:drawing>
                <wp:inline distT="0" distB="0" distL="0" distR="0" wp14:anchorId="3DE19F27" wp14:editId="23BC5EC2">
                  <wp:extent cx="1514475" cy="1514475"/>
                  <wp:effectExtent l="0" t="0" r="9525" b="9525"/>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tc>
      </w:tr>
      <w:tr w:rsidR="005902DD" w14:paraId="7F1A14CF" w14:textId="77777777" w:rsidTr="00FE4DC5">
        <w:trPr>
          <w:trHeight w:val="2448"/>
          <w:jc w:val="center"/>
        </w:trPr>
        <w:tc>
          <w:tcPr>
            <w:tcW w:w="11520" w:type="dxa"/>
            <w:gridSpan w:val="10"/>
            <w:shd w:val="clear" w:color="auto" w:fill="FFFFFF" w:themeFill="background1"/>
            <w:vAlign w:val="center"/>
          </w:tcPr>
          <w:p w14:paraId="53C3D79A" w14:textId="77777777" w:rsidR="00FE4DC5" w:rsidRPr="00FE4DC5" w:rsidRDefault="00FE4DC5" w:rsidP="002D201B">
            <w:pPr>
              <w:jc w:val="both"/>
              <w:rPr>
                <w:b/>
                <w:bCs/>
                <w:color w:val="000000" w:themeColor="text1"/>
                <w:sz w:val="10"/>
                <w:szCs w:val="10"/>
              </w:rPr>
            </w:pPr>
          </w:p>
          <w:p w14:paraId="200FFA8F" w14:textId="682E501A" w:rsidR="00305D9D" w:rsidRPr="005A7CBC" w:rsidRDefault="0056282D" w:rsidP="002D201B">
            <w:pPr>
              <w:jc w:val="both"/>
              <w:rPr>
                <w:color w:val="000000" w:themeColor="text1"/>
                <w:sz w:val="21"/>
                <w:szCs w:val="21"/>
              </w:rPr>
            </w:pPr>
            <w:r w:rsidRPr="005A7CBC">
              <w:rPr>
                <w:b/>
                <w:bCs/>
                <w:color w:val="000000" w:themeColor="text1"/>
                <w:sz w:val="21"/>
                <w:szCs w:val="21"/>
              </w:rPr>
              <w:t>In 1984, IBM’s annual report was dedicated to the “Year of the Customer,” the first recognition that superior customer service/support (CX) is the company’s true competitive differentiator</w:t>
            </w:r>
            <w:r w:rsidRPr="005A7CBC">
              <w:rPr>
                <w:color w:val="000000" w:themeColor="text1"/>
                <w:sz w:val="21"/>
                <w:szCs w:val="21"/>
              </w:rPr>
              <w:t xml:space="preserve">.  Over the years, IBM would be joined by many other service thought leaders: Lexus, Ritz-Carlton, Walt Disney, L.L. Bean, Nordstrom, et. al. who made the transition making customer service/support their strongest and most critical competitive advantage. This vision was counter to George Orwell’s dystopian novel “1984” that imagined a society where individualism and independent thinking were regarded as "thoughtcrimes" instead of “thought leadership.” This turnaround towards service thought leadership would continue </w:t>
            </w:r>
            <w:r w:rsidR="005A7CBC" w:rsidRPr="005A7CBC">
              <w:rPr>
                <w:color w:val="000000" w:themeColor="text1"/>
                <w:sz w:val="21"/>
                <w:szCs w:val="21"/>
              </w:rPr>
              <w:t>powered by CXDNA Playbook Strategy and validated by an</w:t>
            </w:r>
            <w:r w:rsidRPr="005A7CBC">
              <w:rPr>
                <w:color w:val="000000" w:themeColor="text1"/>
                <w:sz w:val="21"/>
                <w:szCs w:val="21"/>
              </w:rPr>
              <w:t xml:space="preserve"> award that was the </w:t>
            </w:r>
            <w:r w:rsidRPr="005A7CBC">
              <w:rPr>
                <w:b/>
                <w:bCs/>
                <w:i/>
                <w:iCs/>
                <w:color w:val="000000" w:themeColor="text1"/>
                <w:sz w:val="21"/>
                <w:szCs w:val="21"/>
              </w:rPr>
              <w:t>first (2000)</w:t>
            </w:r>
            <w:r w:rsidRPr="005A7CBC">
              <w:rPr>
                <w:color w:val="000000" w:themeColor="text1"/>
                <w:sz w:val="21"/>
                <w:szCs w:val="21"/>
              </w:rPr>
              <w:t xml:space="preserve"> to recognize organizations that consistently exceeded customer expectations for service/support and that CX </w:t>
            </w:r>
            <w:r w:rsidR="009B191A">
              <w:rPr>
                <w:color w:val="000000" w:themeColor="text1"/>
                <w:sz w:val="21"/>
                <w:szCs w:val="21"/>
              </w:rPr>
              <w:t>is</w:t>
            </w:r>
            <w:r w:rsidRPr="005A7CBC">
              <w:rPr>
                <w:color w:val="000000" w:themeColor="text1"/>
                <w:sz w:val="21"/>
                <w:szCs w:val="21"/>
              </w:rPr>
              <w:t xml:space="preserve"> the most critical component of a company’s DNA, </w:t>
            </w:r>
            <w:r w:rsidRPr="005A7CBC">
              <w:rPr>
                <w:b/>
                <w:bCs/>
                <w:color w:val="000000" w:themeColor="text1"/>
                <w:sz w:val="21"/>
                <w:szCs w:val="21"/>
              </w:rPr>
              <w:t>(CXDNA).</w:t>
            </w:r>
            <w:r w:rsidRPr="005A7CBC">
              <w:rPr>
                <w:color w:val="000000" w:themeColor="text1"/>
                <w:sz w:val="21"/>
                <w:szCs w:val="21"/>
              </w:rPr>
              <w:t xml:space="preserve"> </w:t>
            </w:r>
          </w:p>
          <w:p w14:paraId="064CC55A" w14:textId="77777777" w:rsidR="00305D9D" w:rsidRPr="00FE4DC5" w:rsidRDefault="00305D9D" w:rsidP="002D201B">
            <w:pPr>
              <w:jc w:val="both"/>
              <w:rPr>
                <w:color w:val="000000" w:themeColor="text1"/>
                <w:sz w:val="10"/>
                <w:szCs w:val="10"/>
              </w:rPr>
            </w:pPr>
          </w:p>
          <w:p w14:paraId="7820C7A8" w14:textId="77777777" w:rsidR="00305D9D" w:rsidRDefault="0056282D" w:rsidP="002D201B">
            <w:pPr>
              <w:jc w:val="both"/>
              <w:rPr>
                <w:color w:val="000000" w:themeColor="text1"/>
                <w:sz w:val="21"/>
                <w:szCs w:val="21"/>
              </w:rPr>
            </w:pPr>
            <w:r w:rsidRPr="005A7CBC">
              <w:rPr>
                <w:color w:val="000000" w:themeColor="text1"/>
                <w:sz w:val="21"/>
                <w:szCs w:val="21"/>
              </w:rPr>
              <w:t>That award –</w:t>
            </w:r>
            <w:r w:rsidRPr="005A7CBC">
              <w:rPr>
                <w:b/>
                <w:bCs/>
                <w:color w:val="000000" w:themeColor="text1"/>
                <w:sz w:val="21"/>
                <w:szCs w:val="21"/>
              </w:rPr>
              <w:t>NorthFace ScoreBoard Award</w:t>
            </w:r>
            <w:r w:rsidRPr="005A7CBC">
              <w:rPr>
                <w:b/>
                <w:bCs/>
                <w:color w:val="000000" w:themeColor="text1"/>
                <w:sz w:val="21"/>
                <w:szCs w:val="21"/>
                <w:vertAlign w:val="superscript"/>
              </w:rPr>
              <w:t xml:space="preserve">SM </w:t>
            </w:r>
            <w:r w:rsidRPr="005A7CBC">
              <w:rPr>
                <w:color w:val="000000" w:themeColor="text1"/>
                <w:sz w:val="21"/>
                <w:szCs w:val="21"/>
              </w:rPr>
              <w:t>— marks its 20</w:t>
            </w:r>
            <w:r w:rsidRPr="005A7CBC">
              <w:rPr>
                <w:color w:val="000000" w:themeColor="text1"/>
                <w:sz w:val="21"/>
                <w:szCs w:val="21"/>
                <w:vertAlign w:val="superscript"/>
              </w:rPr>
              <w:t>th</w:t>
            </w:r>
            <w:r w:rsidRPr="005A7CBC">
              <w:rPr>
                <w:color w:val="000000" w:themeColor="text1"/>
                <w:sz w:val="21"/>
                <w:szCs w:val="21"/>
              </w:rPr>
              <w:t xml:space="preserve"> anniversary in 2020.</w:t>
            </w:r>
          </w:p>
          <w:p w14:paraId="7BB237F8" w14:textId="2E9DD5D3" w:rsidR="00FE4DC5" w:rsidRPr="005A7CBC" w:rsidRDefault="00FE4DC5" w:rsidP="002D201B">
            <w:pPr>
              <w:jc w:val="both"/>
              <w:rPr>
                <w:color w:val="000000" w:themeColor="text1"/>
                <w:sz w:val="21"/>
                <w:szCs w:val="21"/>
              </w:rPr>
            </w:pPr>
          </w:p>
        </w:tc>
      </w:tr>
      <w:tr w:rsidR="00305D9D" w14:paraId="1887FAD0" w14:textId="77777777" w:rsidTr="00305D9D">
        <w:trPr>
          <w:jc w:val="center"/>
        </w:trPr>
        <w:tc>
          <w:tcPr>
            <w:tcW w:w="2169" w:type="dxa"/>
            <w:gridSpan w:val="3"/>
            <w:shd w:val="clear" w:color="auto" w:fill="7F7F7F" w:themeFill="text1" w:themeFillTint="80"/>
          </w:tcPr>
          <w:p w14:paraId="269D42CF" w14:textId="77777777" w:rsidR="002D43E0" w:rsidRPr="009D5F29" w:rsidRDefault="002D43E0" w:rsidP="000D7898">
            <w:pPr>
              <w:jc w:val="center"/>
              <w:rPr>
                <w:noProof/>
                <w:sz w:val="100"/>
                <w:szCs w:val="100"/>
              </w:rPr>
            </w:pPr>
            <w:r>
              <w:rPr>
                <w:noProof/>
              </w:rPr>
              <w:drawing>
                <wp:inline distT="0" distB="0" distL="0" distR="0" wp14:anchorId="416B9452" wp14:editId="1F25FBE7">
                  <wp:extent cx="838083" cy="8763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6570" b="2885"/>
                          <a:stretch/>
                        </pic:blipFill>
                        <pic:spPr bwMode="auto">
                          <a:xfrm>
                            <a:off x="0" y="0"/>
                            <a:ext cx="848731" cy="887433"/>
                          </a:xfrm>
                          <a:prstGeom prst="rect">
                            <a:avLst/>
                          </a:prstGeom>
                          <a:ln>
                            <a:noFill/>
                          </a:ln>
                          <a:extLst>
                            <a:ext uri="{53640926-AAD7-44D8-BBD7-CCE9431645EC}">
                              <a14:shadowObscured xmlns:a14="http://schemas.microsoft.com/office/drawing/2010/main"/>
                            </a:ext>
                          </a:extLst>
                        </pic:spPr>
                      </pic:pic>
                    </a:graphicData>
                  </a:graphic>
                </wp:inline>
              </w:drawing>
            </w:r>
          </w:p>
        </w:tc>
        <w:tc>
          <w:tcPr>
            <w:tcW w:w="1488" w:type="dxa"/>
            <w:gridSpan w:val="2"/>
            <w:shd w:val="clear" w:color="auto" w:fill="7F7F7F" w:themeFill="text1" w:themeFillTint="80"/>
            <w:vAlign w:val="center"/>
          </w:tcPr>
          <w:p w14:paraId="7A18D18B" w14:textId="700D72F1" w:rsidR="002D43E0" w:rsidRPr="002D43E0" w:rsidRDefault="003A4EDE" w:rsidP="009D5F29">
            <w:pPr>
              <w:jc w:val="center"/>
              <w:rPr>
                <w:noProof/>
                <w:color w:val="FFFFFF" w:themeColor="background1"/>
                <w:sz w:val="100"/>
                <w:szCs w:val="100"/>
              </w:rPr>
            </w:pPr>
            <w:r>
              <w:rPr>
                <w:color w:val="FFFFFF" w:themeColor="background1"/>
                <w:sz w:val="100"/>
                <w:szCs w:val="100"/>
              </w:rPr>
              <w:t>5</w:t>
            </w:r>
          </w:p>
        </w:tc>
        <w:tc>
          <w:tcPr>
            <w:tcW w:w="7863" w:type="dxa"/>
            <w:gridSpan w:val="5"/>
            <w:shd w:val="clear" w:color="auto" w:fill="7F7F7F" w:themeFill="text1" w:themeFillTint="80"/>
            <w:vAlign w:val="center"/>
          </w:tcPr>
          <w:p w14:paraId="252BB33D" w14:textId="0ABAF5D6" w:rsidR="002D43E0" w:rsidRPr="00EF4E88" w:rsidRDefault="00E277DD">
            <w:pPr>
              <w:rPr>
                <w:b/>
                <w:color w:val="FFFFFF" w:themeColor="background1"/>
                <w:sz w:val="36"/>
                <w:szCs w:val="36"/>
              </w:rPr>
            </w:pPr>
            <w:r>
              <w:rPr>
                <w:b/>
                <w:color w:val="FFFFFF" w:themeColor="background1"/>
                <w:sz w:val="36"/>
                <w:szCs w:val="36"/>
              </w:rPr>
              <w:t>Reasons to Add Value</w:t>
            </w:r>
          </w:p>
        </w:tc>
      </w:tr>
      <w:tr w:rsidR="00305D9D" w14:paraId="7332B905" w14:textId="77777777" w:rsidTr="00305D9D">
        <w:trPr>
          <w:trHeight w:val="512"/>
          <w:jc w:val="center"/>
        </w:trPr>
        <w:tc>
          <w:tcPr>
            <w:tcW w:w="1114" w:type="dxa"/>
            <w:shd w:val="clear" w:color="auto" w:fill="2F5496" w:themeFill="accent1" w:themeFillShade="BF"/>
            <w:vAlign w:val="center"/>
          </w:tcPr>
          <w:p w14:paraId="33ADB443" w14:textId="77777777" w:rsidR="002D43E0" w:rsidRPr="00D805F1" w:rsidRDefault="002D43E0" w:rsidP="00F02860">
            <w:pPr>
              <w:jc w:val="center"/>
              <w:rPr>
                <w:b/>
                <w:color w:val="FFFFFF" w:themeColor="background1"/>
                <w:sz w:val="36"/>
                <w:szCs w:val="36"/>
              </w:rPr>
            </w:pPr>
            <w:r w:rsidRPr="00D805F1">
              <w:rPr>
                <w:b/>
                <w:color w:val="FFFFFF" w:themeColor="background1"/>
                <w:sz w:val="36"/>
                <w:szCs w:val="36"/>
              </w:rPr>
              <w:t>1</w:t>
            </w:r>
          </w:p>
        </w:tc>
        <w:tc>
          <w:tcPr>
            <w:tcW w:w="10406" w:type="dxa"/>
            <w:gridSpan w:val="9"/>
            <w:shd w:val="clear" w:color="auto" w:fill="2F5496" w:themeFill="accent1" w:themeFillShade="BF"/>
            <w:vAlign w:val="center"/>
          </w:tcPr>
          <w:p w14:paraId="29E938BF" w14:textId="6B422980" w:rsidR="00F02860" w:rsidRPr="00221CEA" w:rsidRDefault="00E277DD" w:rsidP="00F02860">
            <w:pPr>
              <w:rPr>
                <w:b/>
                <w:color w:val="FFFFFF" w:themeColor="background1"/>
                <w:sz w:val="30"/>
                <w:szCs w:val="30"/>
              </w:rPr>
            </w:pPr>
            <w:r w:rsidRPr="00221CEA">
              <w:rPr>
                <w:b/>
                <w:color w:val="FFFFFF" w:themeColor="background1"/>
                <w:sz w:val="30"/>
                <w:szCs w:val="30"/>
              </w:rPr>
              <w:t xml:space="preserve">Create </w:t>
            </w:r>
            <w:r w:rsidR="005A7CBC" w:rsidRPr="00221CEA">
              <w:rPr>
                <w:b/>
                <w:color w:val="FFFFFF" w:themeColor="background1"/>
                <w:sz w:val="30"/>
                <w:szCs w:val="30"/>
              </w:rPr>
              <w:t xml:space="preserve">CXDNA </w:t>
            </w:r>
            <w:r w:rsidRPr="00221CEA">
              <w:rPr>
                <w:b/>
                <w:color w:val="FFFFFF" w:themeColor="background1"/>
                <w:sz w:val="30"/>
                <w:szCs w:val="30"/>
              </w:rPr>
              <w:t xml:space="preserve">Standard </w:t>
            </w:r>
            <w:r w:rsidR="00305D9D" w:rsidRPr="00221CEA">
              <w:rPr>
                <w:b/>
                <w:color w:val="FFFFFF" w:themeColor="background1"/>
                <w:sz w:val="30"/>
                <w:szCs w:val="30"/>
              </w:rPr>
              <w:t>for Service Excellence</w:t>
            </w:r>
          </w:p>
        </w:tc>
      </w:tr>
      <w:tr w:rsidR="00F02860" w14:paraId="74F85DAA" w14:textId="77777777" w:rsidTr="00FE4DC5">
        <w:trPr>
          <w:trHeight w:val="1872"/>
          <w:jc w:val="center"/>
        </w:trPr>
        <w:tc>
          <w:tcPr>
            <w:tcW w:w="11520" w:type="dxa"/>
            <w:gridSpan w:val="10"/>
            <w:vAlign w:val="center"/>
          </w:tcPr>
          <w:p w14:paraId="54D39C34" w14:textId="394C5360" w:rsidR="00FE4DC5" w:rsidRPr="00FE4DC5" w:rsidRDefault="00FE4DC5" w:rsidP="0056282D">
            <w:pPr>
              <w:jc w:val="both"/>
              <w:rPr>
                <w:sz w:val="10"/>
                <w:szCs w:val="10"/>
              </w:rPr>
            </w:pPr>
          </w:p>
          <w:p w14:paraId="20B95526" w14:textId="54B23CCE" w:rsidR="0056282D" w:rsidRPr="00BC3259" w:rsidRDefault="0056282D" w:rsidP="0056282D">
            <w:pPr>
              <w:jc w:val="both"/>
            </w:pPr>
            <w:r w:rsidRPr="00BC3259">
              <w:t xml:space="preserve">The </w:t>
            </w:r>
            <w:r w:rsidR="005A7CBC" w:rsidRPr="00BC3259">
              <w:t xml:space="preserve">CXDNA Playbook Strategy and the </w:t>
            </w:r>
            <w:hyperlink r:id="rId10" w:history="1">
              <w:r w:rsidRPr="00BC3259">
                <w:rPr>
                  <w:rStyle w:val="Hyperlink"/>
                </w:rPr>
                <w:t>NorthFace ScoreBoard (NFSB) Award</w:t>
              </w:r>
            </w:hyperlink>
            <w:r w:rsidRPr="00BC3259">
              <w:t xml:space="preserve"> </w:t>
            </w:r>
            <w:r w:rsidR="005A7CBC" w:rsidRPr="00BC3259">
              <w:t xml:space="preserve">(CXDNA) </w:t>
            </w:r>
            <w:r w:rsidRPr="00BC3259">
              <w:t xml:space="preserve">created the structure necessary to objectively measure and validate the quality of the customer experience in all interactions with a company. Before the </w:t>
            </w:r>
            <w:r w:rsidR="005A7CBC" w:rsidRPr="00BC3259">
              <w:t>CXDNA</w:t>
            </w:r>
            <w:r w:rsidRPr="00BC3259">
              <w:t>, measuring customer satisfaction was largely an ad hoc, reactive activity performed periodically by organizations.</w:t>
            </w:r>
          </w:p>
          <w:p w14:paraId="11AB7F83" w14:textId="77777777" w:rsidR="00BC3259" w:rsidRDefault="0056282D" w:rsidP="0056282D">
            <w:pPr>
              <w:jc w:val="both"/>
            </w:pPr>
            <w:r w:rsidRPr="00BC3259">
              <w:t xml:space="preserve">But </w:t>
            </w:r>
            <w:r w:rsidR="00BC3259" w:rsidRPr="00BC3259">
              <w:t>CXDNA</w:t>
            </w:r>
            <w:r w:rsidRPr="00BC3259">
              <w:t xml:space="preserve"> chang</w:t>
            </w:r>
            <w:r w:rsidR="00BC3259" w:rsidRPr="00BC3259">
              <w:t>ed</w:t>
            </w:r>
            <w:r w:rsidRPr="00BC3259">
              <w:t xml:space="preserve"> the subjectivity and marginal importance of the customer experience. Since 2000, the </w:t>
            </w:r>
            <w:r w:rsidR="00BC3259" w:rsidRPr="00BC3259">
              <w:t xml:space="preserve">NFSB </w:t>
            </w:r>
            <w:r w:rsidRPr="00BC3259">
              <w:t>award has been presented annually to organizations that</w:t>
            </w:r>
            <w:r w:rsidR="00BC3259" w:rsidRPr="00BC3259">
              <w:t>,</w:t>
            </w:r>
            <w:r w:rsidRPr="00BC3259">
              <w:t xml:space="preserve"> based solely on survey responses from a company’s own customers</w:t>
            </w:r>
            <w:r w:rsidR="00BC3259" w:rsidRPr="00BC3259">
              <w:t xml:space="preserve">, </w:t>
            </w:r>
            <w:r w:rsidRPr="00BC3259">
              <w:t>consistently exceed</w:t>
            </w:r>
            <w:r w:rsidR="00BC3259" w:rsidRPr="00BC3259">
              <w:t>ed</w:t>
            </w:r>
            <w:r w:rsidRPr="00BC3259">
              <w:t xml:space="preserve"> customer expectations for service/support for a full calendar year.</w:t>
            </w:r>
          </w:p>
          <w:p w14:paraId="0AF85C44" w14:textId="36C72A38" w:rsidR="00FE4DC5" w:rsidRPr="000C54A5" w:rsidRDefault="00FE4DC5" w:rsidP="0056282D">
            <w:pPr>
              <w:jc w:val="both"/>
            </w:pPr>
          </w:p>
        </w:tc>
      </w:tr>
      <w:tr w:rsidR="00305D9D" w14:paraId="2D42E0D0" w14:textId="77777777" w:rsidTr="00FE4DC5">
        <w:trPr>
          <w:trHeight w:val="450"/>
          <w:jc w:val="center"/>
        </w:trPr>
        <w:tc>
          <w:tcPr>
            <w:tcW w:w="1255" w:type="dxa"/>
            <w:gridSpan w:val="2"/>
            <w:shd w:val="clear" w:color="auto" w:fill="2F5496" w:themeFill="accent1" w:themeFillShade="BF"/>
          </w:tcPr>
          <w:p w14:paraId="772E2F1A" w14:textId="77777777" w:rsidR="00297E48" w:rsidRPr="00D805F1" w:rsidRDefault="00AE7887" w:rsidP="009D5F29">
            <w:pPr>
              <w:jc w:val="center"/>
              <w:rPr>
                <w:b/>
                <w:color w:val="FFFFFF" w:themeColor="background1"/>
                <w:sz w:val="36"/>
                <w:szCs w:val="36"/>
              </w:rPr>
            </w:pPr>
            <w:r w:rsidRPr="00D805F1">
              <w:rPr>
                <w:b/>
                <w:color w:val="FFFFFF" w:themeColor="background1"/>
                <w:sz w:val="36"/>
                <w:szCs w:val="36"/>
              </w:rPr>
              <w:t>2</w:t>
            </w:r>
          </w:p>
        </w:tc>
        <w:tc>
          <w:tcPr>
            <w:tcW w:w="10265" w:type="dxa"/>
            <w:gridSpan w:val="8"/>
            <w:shd w:val="clear" w:color="auto" w:fill="2F5496" w:themeFill="accent1" w:themeFillShade="BF"/>
          </w:tcPr>
          <w:p w14:paraId="41D1EB76" w14:textId="62E44BF0" w:rsidR="009D5F29" w:rsidRPr="00221CEA" w:rsidRDefault="00E277DD">
            <w:pPr>
              <w:rPr>
                <w:b/>
                <w:color w:val="FFFFFF" w:themeColor="background1"/>
                <w:sz w:val="30"/>
                <w:szCs w:val="30"/>
              </w:rPr>
            </w:pPr>
            <w:r w:rsidRPr="00221CEA">
              <w:rPr>
                <w:b/>
                <w:color w:val="FFFFFF" w:themeColor="background1"/>
                <w:sz w:val="30"/>
                <w:szCs w:val="30"/>
              </w:rPr>
              <w:t xml:space="preserve">Create Competitive </w:t>
            </w:r>
            <w:r w:rsidR="00305D9D" w:rsidRPr="00221CEA">
              <w:rPr>
                <w:b/>
                <w:color w:val="FFFFFF" w:themeColor="background1"/>
                <w:sz w:val="30"/>
                <w:szCs w:val="30"/>
              </w:rPr>
              <w:t>Advantage</w:t>
            </w:r>
          </w:p>
        </w:tc>
      </w:tr>
      <w:tr w:rsidR="00AE7887" w:rsidRPr="009F7801" w14:paraId="0C2A0D0D" w14:textId="77777777" w:rsidTr="00FE4DC5">
        <w:trPr>
          <w:trHeight w:val="3690"/>
          <w:jc w:val="center"/>
        </w:trPr>
        <w:tc>
          <w:tcPr>
            <w:tcW w:w="11520" w:type="dxa"/>
            <w:gridSpan w:val="10"/>
            <w:vAlign w:val="center"/>
          </w:tcPr>
          <w:p w14:paraId="29055ACD" w14:textId="77777777" w:rsidR="00FE4DC5" w:rsidRPr="00FE4DC5" w:rsidRDefault="00FE4DC5" w:rsidP="0056282D">
            <w:pPr>
              <w:jc w:val="both"/>
              <w:rPr>
                <w:b/>
                <w:bCs/>
                <w:sz w:val="10"/>
                <w:szCs w:val="10"/>
              </w:rPr>
            </w:pPr>
          </w:p>
          <w:p w14:paraId="677166F1" w14:textId="534213FB" w:rsidR="0056282D" w:rsidRPr="00BC3259" w:rsidRDefault="0056282D" w:rsidP="0056282D">
            <w:pPr>
              <w:jc w:val="both"/>
              <w:rPr>
                <w:b/>
                <w:bCs/>
              </w:rPr>
            </w:pPr>
            <w:r w:rsidRPr="00BC3259">
              <w:rPr>
                <w:b/>
                <w:bCs/>
              </w:rPr>
              <w:t>NFSB Award Delivers a Clear Competitive Edge for Recipients</w:t>
            </w:r>
          </w:p>
          <w:p w14:paraId="771CC9E7" w14:textId="77777777" w:rsidR="00E27B90" w:rsidRPr="00BC3259" w:rsidRDefault="0056282D" w:rsidP="000C54A5">
            <w:pPr>
              <w:jc w:val="both"/>
            </w:pPr>
            <w:r w:rsidRPr="00BC3259">
              <w:t xml:space="preserve">The business world has come to understand that customers – </w:t>
            </w:r>
            <w:r w:rsidRPr="00BC3259">
              <w:rPr>
                <w:b/>
                <w:bCs/>
                <w:i/>
                <w:iCs/>
              </w:rPr>
              <w:t>not</w:t>
            </w:r>
            <w:r w:rsidRPr="00BC3259">
              <w:t xml:space="preserve"> products and services – are the source of all revenue and profits.  This means that companies cannot afford to turn a blind eye to CX and just rely on product features and benefits, which had been the standard before the NFSB Award helped in the transition to CXDNA culture</w:t>
            </w:r>
            <w:r w:rsidRPr="00BC3259">
              <w:rPr>
                <w:b/>
                <w:bCs/>
              </w:rPr>
              <w:t>.</w:t>
            </w:r>
            <w:r w:rsidRPr="00BC3259">
              <w:t xml:space="preserve"> </w:t>
            </w:r>
          </w:p>
          <w:p w14:paraId="4AD9221C" w14:textId="77777777" w:rsidR="00305D9D" w:rsidRPr="00BC3259" w:rsidRDefault="00305D9D" w:rsidP="000C54A5">
            <w:pPr>
              <w:jc w:val="both"/>
            </w:pPr>
          </w:p>
          <w:p w14:paraId="056CE550" w14:textId="327E6AA2" w:rsidR="00305D9D" w:rsidRPr="008124BE" w:rsidRDefault="00305D9D" w:rsidP="000C54A5">
            <w:pPr>
              <w:jc w:val="both"/>
            </w:pPr>
            <w:r w:rsidRPr="008124BE">
              <w:t>Since the NFSB Award criteria is unique in both measurement metrics (SBI rating or equivalent rating system) and that only customer survey responses are used to determine the level of CX excellence a company provides, the NFSB Award is the ultimate VoC measurement.</w:t>
            </w:r>
          </w:p>
          <w:p w14:paraId="5E9159D2" w14:textId="77777777" w:rsidR="00305D9D" w:rsidRPr="009B191A" w:rsidRDefault="00305D9D" w:rsidP="000C54A5">
            <w:pPr>
              <w:jc w:val="both"/>
            </w:pPr>
          </w:p>
          <w:p w14:paraId="086417B6" w14:textId="77777777" w:rsidR="00BC3259" w:rsidRDefault="00DE5E5E" w:rsidP="00DE5E5E">
            <w:r w:rsidRPr="009B191A">
              <w:t xml:space="preserve">Market Research has shown that most </w:t>
            </w:r>
            <w:r w:rsidR="008124BE" w:rsidRPr="009B191A">
              <w:t>decision makers</w:t>
            </w:r>
            <w:r w:rsidRPr="009B191A">
              <w:t xml:space="preserve"> value an independent award recognition for outstanding customer service (</w:t>
            </w:r>
            <w:hyperlink r:id="rId11" w:history="1">
              <w:r w:rsidRPr="009B191A">
                <w:rPr>
                  <w:rStyle w:val="Hyperlink"/>
                </w:rPr>
                <w:t>JD Power</w:t>
              </w:r>
            </w:hyperlink>
            <w:r w:rsidRPr="009B191A">
              <w:t xml:space="preserve"> – </w:t>
            </w:r>
            <w:hyperlink r:id="rId12" w:history="1">
              <w:r w:rsidRPr="009B191A">
                <w:rPr>
                  <w:rStyle w:val="Hyperlink"/>
                </w:rPr>
                <w:t>Stevie</w:t>
              </w:r>
            </w:hyperlink>
            <w:r w:rsidRPr="009B191A">
              <w:t xml:space="preserve"> – </w:t>
            </w:r>
            <w:hyperlink r:id="rId13" w:history="1">
              <w:r w:rsidRPr="009B191A">
                <w:rPr>
                  <w:rStyle w:val="Hyperlink"/>
                </w:rPr>
                <w:t>NFSB</w:t>
              </w:r>
            </w:hyperlink>
            <w:r w:rsidRPr="009B191A">
              <w:t xml:space="preserve"> – </w:t>
            </w:r>
            <w:hyperlink r:id="rId14" w:history="1">
              <w:r w:rsidRPr="009B191A">
                <w:rPr>
                  <w:rStyle w:val="Hyperlink"/>
                </w:rPr>
                <w:t>TSIA</w:t>
              </w:r>
            </w:hyperlink>
            <w:r w:rsidRPr="009B191A">
              <w:t xml:space="preserve"> – </w:t>
            </w:r>
            <w:hyperlink r:id="rId15" w:history="1">
              <w:r w:rsidRPr="009B191A">
                <w:rPr>
                  <w:rStyle w:val="Hyperlink"/>
                </w:rPr>
                <w:t>ICMI</w:t>
              </w:r>
            </w:hyperlink>
            <w:r w:rsidRPr="009B191A">
              <w:t xml:space="preserve"> – </w:t>
            </w:r>
            <w:hyperlink r:id="rId16" w:history="1">
              <w:r w:rsidRPr="009B191A">
                <w:rPr>
                  <w:rStyle w:val="Hyperlink"/>
                </w:rPr>
                <w:t>CallCenter Week</w:t>
              </w:r>
            </w:hyperlink>
            <w:r w:rsidRPr="009B191A">
              <w:t xml:space="preserve"> – </w:t>
            </w:r>
            <w:hyperlink r:id="rId17" w:history="1">
              <w:r w:rsidRPr="009B191A">
                <w:rPr>
                  <w:rStyle w:val="Hyperlink"/>
                </w:rPr>
                <w:t>CXPA</w:t>
              </w:r>
            </w:hyperlink>
            <w:r w:rsidRPr="009B191A">
              <w:t xml:space="preserve"> – etc.) to help drive their brand recognition. Now, </w:t>
            </w:r>
            <w:r w:rsidR="008124BE" w:rsidRPr="009B191A">
              <w:t>as part of the</w:t>
            </w:r>
            <w:r w:rsidRPr="009B191A">
              <w:t xml:space="preserve"> </w:t>
            </w:r>
            <w:r w:rsidR="00BC3259" w:rsidRPr="009B191A">
              <w:t xml:space="preserve">CXDNA </w:t>
            </w:r>
            <w:r w:rsidR="008124BE" w:rsidRPr="009B191A">
              <w:t>P</w:t>
            </w:r>
            <w:r w:rsidR="00BC3259" w:rsidRPr="009B191A">
              <w:t>laybook Partner program</w:t>
            </w:r>
            <w:r w:rsidR="009B191A">
              <w:t>,</w:t>
            </w:r>
            <w:r w:rsidR="008124BE" w:rsidRPr="009B191A">
              <w:t xml:space="preserve"> </w:t>
            </w:r>
            <w:r w:rsidR="009B191A">
              <w:t>t</w:t>
            </w:r>
            <w:r w:rsidR="008124BE" w:rsidRPr="009B191A">
              <w:t>he</w:t>
            </w:r>
            <w:r w:rsidR="00BC3259" w:rsidRPr="009B191A">
              <w:t xml:space="preserve"> NFSB award</w:t>
            </w:r>
            <w:r w:rsidRPr="009B191A">
              <w:t xml:space="preserve"> will provide this unique added value recognition opportunity </w:t>
            </w:r>
            <w:r w:rsidR="009B191A">
              <w:t>to</w:t>
            </w:r>
            <w:r w:rsidRPr="009B191A">
              <w:t xml:space="preserve"> your customers from a </w:t>
            </w:r>
            <w:r w:rsidR="009B191A">
              <w:t xml:space="preserve">recognized </w:t>
            </w:r>
            <w:r w:rsidRPr="009B191A">
              <w:t>CX industry independent third party.</w:t>
            </w:r>
          </w:p>
          <w:p w14:paraId="79B76852" w14:textId="7F73B28D" w:rsidR="00FE4DC5" w:rsidRPr="00FE4DC5" w:rsidRDefault="00FE4DC5" w:rsidP="00DE5E5E"/>
        </w:tc>
      </w:tr>
      <w:tr w:rsidR="00305D9D" w14:paraId="4201C212" w14:textId="77777777" w:rsidTr="00305D9D">
        <w:trPr>
          <w:jc w:val="center"/>
        </w:trPr>
        <w:tc>
          <w:tcPr>
            <w:tcW w:w="1255" w:type="dxa"/>
            <w:gridSpan w:val="2"/>
            <w:shd w:val="clear" w:color="auto" w:fill="2F5496" w:themeFill="accent1" w:themeFillShade="BF"/>
          </w:tcPr>
          <w:p w14:paraId="4443578E" w14:textId="77777777" w:rsidR="00297E48" w:rsidRPr="00EF4E88" w:rsidRDefault="00AE7887" w:rsidP="008314CA">
            <w:pPr>
              <w:jc w:val="center"/>
              <w:rPr>
                <w:b/>
                <w:color w:val="FFFFFF" w:themeColor="background1"/>
                <w:sz w:val="36"/>
                <w:szCs w:val="36"/>
              </w:rPr>
            </w:pPr>
            <w:r w:rsidRPr="00EF4E88">
              <w:rPr>
                <w:b/>
                <w:color w:val="FFFFFF" w:themeColor="background1"/>
                <w:sz w:val="36"/>
                <w:szCs w:val="36"/>
              </w:rPr>
              <w:lastRenderedPageBreak/>
              <w:t>3</w:t>
            </w:r>
          </w:p>
        </w:tc>
        <w:tc>
          <w:tcPr>
            <w:tcW w:w="10265" w:type="dxa"/>
            <w:gridSpan w:val="8"/>
            <w:shd w:val="clear" w:color="auto" w:fill="2F5496" w:themeFill="accent1" w:themeFillShade="BF"/>
          </w:tcPr>
          <w:p w14:paraId="6682C663" w14:textId="69F0BB59" w:rsidR="00297E48" w:rsidRPr="00221CEA" w:rsidRDefault="00305D9D" w:rsidP="008314CA">
            <w:pPr>
              <w:rPr>
                <w:b/>
                <w:color w:val="FFFFFF" w:themeColor="background1"/>
                <w:sz w:val="30"/>
                <w:szCs w:val="30"/>
              </w:rPr>
            </w:pPr>
            <w:r w:rsidRPr="00221CEA">
              <w:rPr>
                <w:b/>
                <w:color w:val="FFFFFF" w:themeColor="background1"/>
                <w:sz w:val="30"/>
                <w:szCs w:val="30"/>
              </w:rPr>
              <w:t xml:space="preserve">Provide </w:t>
            </w:r>
            <w:r w:rsidR="00E277DD" w:rsidRPr="00221CEA">
              <w:rPr>
                <w:b/>
                <w:color w:val="FFFFFF" w:themeColor="background1"/>
                <w:sz w:val="30"/>
                <w:szCs w:val="30"/>
              </w:rPr>
              <w:t>Universal Survey Measurement</w:t>
            </w:r>
            <w:r w:rsidR="00DE5E5E" w:rsidRPr="00221CEA">
              <w:rPr>
                <w:b/>
                <w:color w:val="FFFFFF" w:themeColor="background1"/>
                <w:sz w:val="30"/>
                <w:szCs w:val="30"/>
              </w:rPr>
              <w:t xml:space="preserve"> – Customer Bill of Rights Guideline</w:t>
            </w:r>
          </w:p>
        </w:tc>
      </w:tr>
      <w:tr w:rsidR="008314CA" w14:paraId="1A6CBCB3" w14:textId="77777777" w:rsidTr="00076C4C">
        <w:trPr>
          <w:trHeight w:val="1980"/>
          <w:jc w:val="center"/>
        </w:trPr>
        <w:tc>
          <w:tcPr>
            <w:tcW w:w="11520" w:type="dxa"/>
            <w:gridSpan w:val="10"/>
            <w:shd w:val="clear" w:color="auto" w:fill="FFFFFF" w:themeFill="background1"/>
            <w:vAlign w:val="center"/>
          </w:tcPr>
          <w:p w14:paraId="05F8ECEE" w14:textId="77777777" w:rsidR="00BC3259" w:rsidRPr="00FE4DC5" w:rsidRDefault="00BC3259" w:rsidP="0056282D">
            <w:pPr>
              <w:rPr>
                <w:b/>
                <w:bCs/>
                <w:sz w:val="10"/>
                <w:szCs w:val="10"/>
              </w:rPr>
            </w:pPr>
          </w:p>
          <w:p w14:paraId="4FE8F937" w14:textId="0D773254" w:rsidR="0056282D" w:rsidRPr="008124BE" w:rsidRDefault="0056282D" w:rsidP="0056282D">
            <w:r w:rsidRPr="008124BE">
              <w:t>The NFSB Award was innovative in establishing universal survey measurement standards’ (SBI – 199</w:t>
            </w:r>
            <w:r w:rsidR="009B191A">
              <w:t>4</w:t>
            </w:r>
            <w:r w:rsidRPr="008124BE">
              <w:t>) that use a five-point weighted average scale to measure both customer satisfaction and customer loyalty by using Level 1 as the lowest rating and level 5 as the highest rating.</w:t>
            </w:r>
          </w:p>
          <w:p w14:paraId="32EE5920" w14:textId="77777777" w:rsidR="0056282D" w:rsidRPr="00BC3259" w:rsidRDefault="0056282D" w:rsidP="0056282D">
            <w:pPr>
              <w:rPr>
                <w:b/>
                <w:bCs/>
              </w:rPr>
            </w:pPr>
          </w:p>
          <w:p w14:paraId="354A9679" w14:textId="77777777" w:rsidR="008124BE" w:rsidRDefault="0056282D" w:rsidP="00BC3259">
            <w:pPr>
              <w:rPr>
                <w:b/>
                <w:bCs/>
              </w:rPr>
            </w:pPr>
            <w:r w:rsidRPr="008124BE">
              <w:t>The weighted average formula, referred as the ScoreBoard Index (SBI), provided a much more accurate measurement of customer sentiment (clear customer intelligence) than the traditional percent satisfied /loyal metrics.  For the first time, the service executive could clearly see customer metrics that directed priorities for critical corrective action and which overtime could be re-measured to see the impact of the corrective action taken. The five-point scale made survey responses more accurate/ easy to understand and the weighted average calculation resulted in any ratings below 4.0 as simply not good enough to retain / grow customers, rather, over time would lead to customers defections. The NFSB Award five-point criteria was extended to include other rating scales (such as 3-6-7-8-9-10 point / Net Promoter Score NPS).</w:t>
            </w:r>
            <w:r w:rsidR="00BC3259" w:rsidRPr="00BC3259">
              <w:rPr>
                <w:b/>
                <w:bCs/>
              </w:rPr>
              <w:t xml:space="preserve"> </w:t>
            </w:r>
          </w:p>
          <w:p w14:paraId="5D5342F1" w14:textId="77777777" w:rsidR="008124BE" w:rsidRDefault="008124BE" w:rsidP="00BC3259">
            <w:pPr>
              <w:rPr>
                <w:b/>
                <w:bCs/>
              </w:rPr>
            </w:pPr>
          </w:p>
          <w:p w14:paraId="045E6F91" w14:textId="608A98F3" w:rsidR="0056282D" w:rsidRPr="00BC3259" w:rsidRDefault="00BC3259" w:rsidP="0056282D">
            <w:r w:rsidRPr="00BC3259">
              <w:rPr>
                <w:b/>
                <w:bCs/>
              </w:rPr>
              <w:t xml:space="preserve">Example: </w:t>
            </w:r>
            <w:r w:rsidRPr="00BC3259">
              <w:t>SBI Formula (based on weighted average):</w:t>
            </w:r>
            <w:r w:rsidRPr="00BC3259">
              <w:t xml:space="preserve"> </w:t>
            </w:r>
            <w:r w:rsidRPr="00BC3259">
              <w:t>Assumption: satisfaction and recommend responses were identical</w:t>
            </w:r>
          </w:p>
          <w:p w14:paraId="05B75C0A" w14:textId="66529E82" w:rsidR="001A1CF8" w:rsidRPr="00BC3259" w:rsidRDefault="001A1CF8" w:rsidP="0056282D">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720"/>
              <w:gridCol w:w="810"/>
              <w:gridCol w:w="90"/>
              <w:gridCol w:w="630"/>
              <w:gridCol w:w="1521"/>
              <w:gridCol w:w="1899"/>
              <w:gridCol w:w="720"/>
              <w:gridCol w:w="205"/>
              <w:gridCol w:w="695"/>
              <w:gridCol w:w="630"/>
              <w:gridCol w:w="1499"/>
            </w:tblGrid>
            <w:tr w:rsidR="00BC3259" w14:paraId="108EC1B9" w14:textId="77777777" w:rsidTr="001A1CF8">
              <w:tc>
                <w:tcPr>
                  <w:tcW w:w="5646" w:type="dxa"/>
                  <w:gridSpan w:val="6"/>
                  <w:tcBorders>
                    <w:right w:val="single" w:sz="18" w:space="0" w:color="auto"/>
                  </w:tcBorders>
                  <w:shd w:val="clear" w:color="auto" w:fill="auto"/>
                </w:tcPr>
                <w:p w14:paraId="5B2EDEBB" w14:textId="77777777" w:rsidR="00BC3259" w:rsidRPr="001A1CF8" w:rsidRDefault="00BC3259" w:rsidP="00BC3259">
                  <w:pPr>
                    <w:spacing w:line="360" w:lineRule="auto"/>
                    <w:rPr>
                      <w:b/>
                      <w:bCs/>
                      <w:sz w:val="18"/>
                      <w:szCs w:val="18"/>
                    </w:rPr>
                  </w:pPr>
                  <w:r w:rsidRPr="001A1CF8">
                    <w:rPr>
                      <w:b/>
                      <w:bCs/>
                      <w:sz w:val="18"/>
                      <w:szCs w:val="18"/>
                    </w:rPr>
                    <w:t>Please rate your overall satisfaction with our customer service?</w:t>
                  </w:r>
                </w:p>
                <w:p w14:paraId="4962DCF4" w14:textId="77777777" w:rsidR="00BC3259" w:rsidRPr="001A1CF8" w:rsidRDefault="00BC3259" w:rsidP="001A1CF8">
                  <w:pPr>
                    <w:spacing w:line="360" w:lineRule="auto"/>
                    <w:rPr>
                      <w:b/>
                      <w:bCs/>
                      <w:sz w:val="18"/>
                      <w:szCs w:val="18"/>
                    </w:rPr>
                  </w:pPr>
                </w:p>
              </w:tc>
              <w:tc>
                <w:tcPr>
                  <w:tcW w:w="5648" w:type="dxa"/>
                  <w:gridSpan w:val="6"/>
                  <w:tcBorders>
                    <w:left w:val="single" w:sz="18" w:space="0" w:color="auto"/>
                  </w:tcBorders>
                  <w:shd w:val="clear" w:color="auto" w:fill="auto"/>
                </w:tcPr>
                <w:p w14:paraId="5DEC8D4F" w14:textId="77777777" w:rsidR="00BC3259" w:rsidRDefault="00BC3259" w:rsidP="00BC3259">
                  <w:pPr>
                    <w:rPr>
                      <w:b/>
                      <w:bCs/>
                      <w:sz w:val="18"/>
                      <w:szCs w:val="18"/>
                    </w:rPr>
                  </w:pPr>
                  <w:r w:rsidRPr="001A1CF8">
                    <w:rPr>
                      <w:b/>
                      <w:bCs/>
                      <w:sz w:val="18"/>
                      <w:szCs w:val="18"/>
                    </w:rPr>
                    <w:t>Please rate your overall willingness to recommend our customer service?</w:t>
                  </w:r>
                </w:p>
                <w:p w14:paraId="70C35487" w14:textId="77777777" w:rsidR="00BC3259" w:rsidRPr="001A1CF8" w:rsidRDefault="00BC3259" w:rsidP="001A1CF8">
                  <w:pPr>
                    <w:rPr>
                      <w:b/>
                      <w:bCs/>
                      <w:sz w:val="18"/>
                      <w:szCs w:val="18"/>
                    </w:rPr>
                  </w:pPr>
                </w:p>
              </w:tc>
            </w:tr>
            <w:tr w:rsidR="004376B1" w14:paraId="77295646" w14:textId="77777777" w:rsidTr="004376B1">
              <w:tc>
                <w:tcPr>
                  <w:tcW w:w="3405" w:type="dxa"/>
                  <w:gridSpan w:val="3"/>
                  <w:shd w:val="clear" w:color="auto" w:fill="auto"/>
                </w:tcPr>
                <w:p w14:paraId="5CE5DFC9" w14:textId="4D93B76E" w:rsidR="004376B1" w:rsidRPr="001A1CF8" w:rsidRDefault="004376B1" w:rsidP="00BC3259">
                  <w:pPr>
                    <w:contextualSpacing/>
                    <w:rPr>
                      <w:sz w:val="18"/>
                      <w:szCs w:val="18"/>
                    </w:rPr>
                  </w:pPr>
                  <w:r w:rsidRPr="001A1CF8">
                    <w:rPr>
                      <w:sz w:val="18"/>
                      <w:szCs w:val="18"/>
                    </w:rPr>
                    <w:t>Failed all customer expectations</w:t>
                  </w:r>
                  <w:r>
                    <w:rPr>
                      <w:sz w:val="18"/>
                      <w:szCs w:val="18"/>
                    </w:rPr>
                    <w:t xml:space="preserve"> </w:t>
                  </w:r>
                </w:p>
                <w:p w14:paraId="79C71375" w14:textId="6807E17D" w:rsidR="004376B1" w:rsidRPr="001A1CF8" w:rsidRDefault="004376B1" w:rsidP="00BC3259">
                  <w:pPr>
                    <w:contextualSpacing/>
                    <w:rPr>
                      <w:sz w:val="18"/>
                      <w:szCs w:val="18"/>
                    </w:rPr>
                  </w:pPr>
                  <w:r w:rsidRPr="001A1CF8">
                    <w:rPr>
                      <w:sz w:val="18"/>
                      <w:szCs w:val="18"/>
                    </w:rPr>
                    <w:t>Perform below customer expectations</w:t>
                  </w:r>
                  <w:r>
                    <w:rPr>
                      <w:sz w:val="18"/>
                      <w:szCs w:val="18"/>
                    </w:rPr>
                    <w:t xml:space="preserve"> </w:t>
                  </w:r>
                </w:p>
                <w:p w14:paraId="074AC62C" w14:textId="1B0EB023" w:rsidR="004376B1" w:rsidRDefault="004376B1" w:rsidP="00BC3259">
                  <w:pPr>
                    <w:contextualSpacing/>
                    <w:rPr>
                      <w:sz w:val="18"/>
                      <w:szCs w:val="18"/>
                    </w:rPr>
                  </w:pPr>
                  <w:r w:rsidRPr="001A1CF8">
                    <w:rPr>
                      <w:sz w:val="18"/>
                      <w:szCs w:val="18"/>
                    </w:rPr>
                    <w:t>Met customer expectations</w:t>
                  </w:r>
                  <w:r>
                    <w:rPr>
                      <w:sz w:val="18"/>
                      <w:szCs w:val="18"/>
                    </w:rPr>
                    <w:t xml:space="preserve"> </w:t>
                  </w:r>
                </w:p>
                <w:p w14:paraId="5AA13856" w14:textId="67D8DC28" w:rsidR="004376B1" w:rsidRPr="001A1CF8" w:rsidRDefault="004376B1" w:rsidP="00BC3259">
                  <w:pPr>
                    <w:contextualSpacing/>
                    <w:rPr>
                      <w:sz w:val="18"/>
                      <w:szCs w:val="18"/>
                    </w:rPr>
                  </w:pPr>
                  <w:r w:rsidRPr="001A1CF8">
                    <w:rPr>
                      <w:sz w:val="18"/>
                      <w:szCs w:val="18"/>
                    </w:rPr>
                    <w:t>Perform above customer</w:t>
                  </w:r>
                  <w:r>
                    <w:rPr>
                      <w:sz w:val="18"/>
                      <w:szCs w:val="18"/>
                    </w:rPr>
                    <w:t xml:space="preserve"> </w:t>
                  </w:r>
                  <w:r w:rsidRPr="001A1CF8">
                    <w:rPr>
                      <w:sz w:val="18"/>
                      <w:szCs w:val="18"/>
                    </w:rPr>
                    <w:t>expectations</w:t>
                  </w:r>
                </w:p>
                <w:p w14:paraId="4ABF01E1" w14:textId="37B0EA36" w:rsidR="004376B1" w:rsidRPr="001A1CF8" w:rsidRDefault="004376B1" w:rsidP="00BC3259">
                  <w:pPr>
                    <w:contextualSpacing/>
                    <w:rPr>
                      <w:sz w:val="18"/>
                      <w:szCs w:val="18"/>
                    </w:rPr>
                  </w:pPr>
                  <w:r w:rsidRPr="001A1CF8">
                    <w:rPr>
                      <w:sz w:val="18"/>
                      <w:szCs w:val="18"/>
                    </w:rPr>
                    <w:t xml:space="preserve">Exceeded </w:t>
                  </w:r>
                  <w:r w:rsidR="008124BE">
                    <w:rPr>
                      <w:sz w:val="18"/>
                      <w:szCs w:val="18"/>
                    </w:rPr>
                    <w:t xml:space="preserve">all </w:t>
                  </w:r>
                  <w:r w:rsidRPr="001A1CF8">
                    <w:rPr>
                      <w:sz w:val="18"/>
                      <w:szCs w:val="18"/>
                    </w:rPr>
                    <w:t>customer expectations</w:t>
                  </w:r>
                </w:p>
              </w:tc>
              <w:tc>
                <w:tcPr>
                  <w:tcW w:w="2241" w:type="dxa"/>
                  <w:gridSpan w:val="3"/>
                  <w:tcBorders>
                    <w:right w:val="single" w:sz="18" w:space="0" w:color="auto"/>
                  </w:tcBorders>
                  <w:shd w:val="clear" w:color="auto" w:fill="auto"/>
                </w:tcPr>
                <w:p w14:paraId="5BCFF878" w14:textId="056462A1" w:rsidR="004376B1" w:rsidRDefault="004376B1" w:rsidP="00BC3259">
                  <w:pPr>
                    <w:contextualSpacing/>
                    <w:rPr>
                      <w:sz w:val="18"/>
                      <w:szCs w:val="18"/>
                    </w:rPr>
                  </w:pPr>
                  <w:r>
                    <w:rPr>
                      <w:sz w:val="18"/>
                      <w:szCs w:val="18"/>
                    </w:rPr>
                    <w:t>(1)</w:t>
                  </w:r>
                </w:p>
                <w:p w14:paraId="77287F58" w14:textId="1D87E7E3" w:rsidR="004376B1" w:rsidRDefault="004376B1" w:rsidP="00BC3259">
                  <w:pPr>
                    <w:contextualSpacing/>
                    <w:rPr>
                      <w:sz w:val="18"/>
                      <w:szCs w:val="18"/>
                    </w:rPr>
                  </w:pPr>
                  <w:r>
                    <w:rPr>
                      <w:sz w:val="18"/>
                      <w:szCs w:val="18"/>
                    </w:rPr>
                    <w:t>(2)</w:t>
                  </w:r>
                </w:p>
                <w:p w14:paraId="01D7B9A6" w14:textId="0582CF04" w:rsidR="004376B1" w:rsidRDefault="004376B1" w:rsidP="00BC3259">
                  <w:pPr>
                    <w:contextualSpacing/>
                    <w:rPr>
                      <w:sz w:val="18"/>
                      <w:szCs w:val="18"/>
                    </w:rPr>
                  </w:pPr>
                  <w:r>
                    <w:rPr>
                      <w:sz w:val="18"/>
                      <w:szCs w:val="18"/>
                    </w:rPr>
                    <w:t>(3)</w:t>
                  </w:r>
                </w:p>
                <w:p w14:paraId="064C6FD3" w14:textId="3D6A9AF0" w:rsidR="004376B1" w:rsidRDefault="004376B1" w:rsidP="00BC3259">
                  <w:pPr>
                    <w:contextualSpacing/>
                    <w:rPr>
                      <w:sz w:val="18"/>
                      <w:szCs w:val="18"/>
                    </w:rPr>
                  </w:pPr>
                  <w:r>
                    <w:rPr>
                      <w:sz w:val="18"/>
                      <w:szCs w:val="18"/>
                    </w:rPr>
                    <w:t>(4)</w:t>
                  </w:r>
                </w:p>
                <w:p w14:paraId="4E9BB883" w14:textId="77777777" w:rsidR="004376B1" w:rsidRDefault="004376B1" w:rsidP="0056282D">
                  <w:pPr>
                    <w:contextualSpacing/>
                    <w:rPr>
                      <w:sz w:val="18"/>
                      <w:szCs w:val="18"/>
                    </w:rPr>
                  </w:pPr>
                  <w:r>
                    <w:rPr>
                      <w:sz w:val="18"/>
                      <w:szCs w:val="18"/>
                    </w:rPr>
                    <w:t>(5)</w:t>
                  </w:r>
                </w:p>
                <w:p w14:paraId="5BA8C548" w14:textId="29A8DFBA" w:rsidR="004376B1" w:rsidRPr="004376B1" w:rsidRDefault="004376B1" w:rsidP="0056282D">
                  <w:pPr>
                    <w:contextualSpacing/>
                    <w:rPr>
                      <w:sz w:val="18"/>
                      <w:szCs w:val="18"/>
                    </w:rPr>
                  </w:pPr>
                </w:p>
              </w:tc>
              <w:tc>
                <w:tcPr>
                  <w:tcW w:w="2824" w:type="dxa"/>
                  <w:gridSpan w:val="3"/>
                  <w:tcBorders>
                    <w:left w:val="single" w:sz="18" w:space="0" w:color="auto"/>
                  </w:tcBorders>
                  <w:shd w:val="clear" w:color="auto" w:fill="auto"/>
                </w:tcPr>
                <w:p w14:paraId="6F9EE5FD" w14:textId="77777777" w:rsidR="004376B1" w:rsidRPr="001A1CF8" w:rsidRDefault="004376B1" w:rsidP="004376B1">
                  <w:pPr>
                    <w:contextualSpacing/>
                    <w:rPr>
                      <w:sz w:val="18"/>
                      <w:szCs w:val="18"/>
                    </w:rPr>
                  </w:pPr>
                  <w:r w:rsidRPr="001A1CF8">
                    <w:rPr>
                      <w:sz w:val="18"/>
                      <w:szCs w:val="18"/>
                    </w:rPr>
                    <w:t>Definitely not recommend</w:t>
                  </w:r>
                </w:p>
                <w:p w14:paraId="3DE9FF2A" w14:textId="77777777" w:rsidR="004376B1" w:rsidRPr="001A1CF8" w:rsidRDefault="004376B1" w:rsidP="004376B1">
                  <w:pPr>
                    <w:contextualSpacing/>
                    <w:rPr>
                      <w:sz w:val="18"/>
                      <w:szCs w:val="18"/>
                    </w:rPr>
                  </w:pPr>
                  <w:r w:rsidRPr="001A1CF8">
                    <w:rPr>
                      <w:sz w:val="18"/>
                      <w:szCs w:val="18"/>
                    </w:rPr>
                    <w:t>Highly unlikely to recommend</w:t>
                  </w:r>
                </w:p>
                <w:p w14:paraId="5C127D1F" w14:textId="77777777" w:rsidR="004376B1" w:rsidRDefault="004376B1" w:rsidP="004376B1">
                  <w:pPr>
                    <w:contextualSpacing/>
                    <w:rPr>
                      <w:sz w:val="18"/>
                      <w:szCs w:val="18"/>
                    </w:rPr>
                  </w:pPr>
                  <w:r w:rsidRPr="001A1CF8">
                    <w:rPr>
                      <w:sz w:val="18"/>
                      <w:szCs w:val="18"/>
                    </w:rPr>
                    <w:t>Maybe recommend</w:t>
                  </w:r>
                </w:p>
                <w:p w14:paraId="4C56F969" w14:textId="77777777" w:rsidR="004376B1" w:rsidRDefault="004376B1" w:rsidP="004376B1">
                  <w:pPr>
                    <w:contextualSpacing/>
                    <w:rPr>
                      <w:sz w:val="18"/>
                      <w:szCs w:val="18"/>
                    </w:rPr>
                  </w:pPr>
                  <w:r w:rsidRPr="001A1CF8">
                    <w:rPr>
                      <w:sz w:val="18"/>
                      <w:szCs w:val="18"/>
                    </w:rPr>
                    <w:t>Highly likely to recommend</w:t>
                  </w:r>
                </w:p>
                <w:p w14:paraId="5E58868C" w14:textId="3FAB013E" w:rsidR="004376B1" w:rsidRPr="001A1CF8" w:rsidRDefault="004376B1" w:rsidP="004376B1">
                  <w:pPr>
                    <w:contextualSpacing/>
                    <w:rPr>
                      <w:sz w:val="18"/>
                      <w:szCs w:val="18"/>
                    </w:rPr>
                  </w:pPr>
                  <w:r w:rsidRPr="001A1CF8">
                    <w:rPr>
                      <w:sz w:val="18"/>
                      <w:szCs w:val="18"/>
                    </w:rPr>
                    <w:t>Definitely would recommend</w:t>
                  </w:r>
                </w:p>
              </w:tc>
              <w:tc>
                <w:tcPr>
                  <w:tcW w:w="2824" w:type="dxa"/>
                  <w:gridSpan w:val="3"/>
                  <w:shd w:val="clear" w:color="auto" w:fill="auto"/>
                </w:tcPr>
                <w:p w14:paraId="17660814" w14:textId="77777777" w:rsidR="004376B1" w:rsidRDefault="004376B1" w:rsidP="004376B1">
                  <w:pPr>
                    <w:contextualSpacing/>
                    <w:rPr>
                      <w:sz w:val="18"/>
                      <w:szCs w:val="18"/>
                    </w:rPr>
                  </w:pPr>
                  <w:r>
                    <w:rPr>
                      <w:sz w:val="18"/>
                      <w:szCs w:val="18"/>
                    </w:rPr>
                    <w:t>(1)</w:t>
                  </w:r>
                </w:p>
                <w:p w14:paraId="40509B31" w14:textId="77777777" w:rsidR="004376B1" w:rsidRDefault="004376B1" w:rsidP="004376B1">
                  <w:pPr>
                    <w:contextualSpacing/>
                    <w:rPr>
                      <w:sz w:val="18"/>
                      <w:szCs w:val="18"/>
                    </w:rPr>
                  </w:pPr>
                  <w:r>
                    <w:rPr>
                      <w:sz w:val="18"/>
                      <w:szCs w:val="18"/>
                    </w:rPr>
                    <w:t>(2)</w:t>
                  </w:r>
                </w:p>
                <w:p w14:paraId="6F5E7BEB" w14:textId="77777777" w:rsidR="004376B1" w:rsidRDefault="004376B1" w:rsidP="004376B1">
                  <w:pPr>
                    <w:contextualSpacing/>
                    <w:rPr>
                      <w:sz w:val="18"/>
                      <w:szCs w:val="18"/>
                    </w:rPr>
                  </w:pPr>
                  <w:r>
                    <w:rPr>
                      <w:sz w:val="18"/>
                      <w:szCs w:val="18"/>
                    </w:rPr>
                    <w:t>(3)</w:t>
                  </w:r>
                </w:p>
                <w:p w14:paraId="16C4CD66" w14:textId="77777777" w:rsidR="004376B1" w:rsidRDefault="004376B1" w:rsidP="004376B1">
                  <w:pPr>
                    <w:contextualSpacing/>
                    <w:rPr>
                      <w:sz w:val="18"/>
                      <w:szCs w:val="18"/>
                    </w:rPr>
                  </w:pPr>
                  <w:r>
                    <w:rPr>
                      <w:sz w:val="18"/>
                      <w:szCs w:val="18"/>
                    </w:rPr>
                    <w:t>(4)</w:t>
                  </w:r>
                </w:p>
                <w:p w14:paraId="46403E75" w14:textId="77777777" w:rsidR="004376B1" w:rsidRDefault="004376B1" w:rsidP="004376B1">
                  <w:pPr>
                    <w:contextualSpacing/>
                    <w:rPr>
                      <w:sz w:val="18"/>
                      <w:szCs w:val="18"/>
                    </w:rPr>
                  </w:pPr>
                  <w:r>
                    <w:rPr>
                      <w:sz w:val="18"/>
                      <w:szCs w:val="18"/>
                    </w:rPr>
                    <w:t>(5)</w:t>
                  </w:r>
                </w:p>
                <w:p w14:paraId="0C215E3F" w14:textId="0BEE0B9D" w:rsidR="004376B1" w:rsidRPr="001A1CF8" w:rsidRDefault="004376B1" w:rsidP="004376B1">
                  <w:pPr>
                    <w:contextualSpacing/>
                    <w:rPr>
                      <w:sz w:val="18"/>
                      <w:szCs w:val="18"/>
                    </w:rPr>
                  </w:pPr>
                </w:p>
              </w:tc>
            </w:tr>
            <w:tr w:rsidR="001A1CF8" w14:paraId="70A864ED" w14:textId="77777777" w:rsidTr="004376B1">
              <w:tc>
                <w:tcPr>
                  <w:tcW w:w="2595" w:type="dxa"/>
                  <w:gridSpan w:val="2"/>
                  <w:shd w:val="clear" w:color="auto" w:fill="auto"/>
                </w:tcPr>
                <w:p w14:paraId="07DFC5E4" w14:textId="77777777" w:rsidR="001A1CF8" w:rsidRDefault="001A1CF8" w:rsidP="001A1CF8">
                  <w:pPr>
                    <w:rPr>
                      <w:sz w:val="24"/>
                      <w:szCs w:val="24"/>
                    </w:rPr>
                  </w:pPr>
                </w:p>
              </w:tc>
              <w:tc>
                <w:tcPr>
                  <w:tcW w:w="1530" w:type="dxa"/>
                  <w:gridSpan w:val="3"/>
                  <w:shd w:val="clear" w:color="auto" w:fill="auto"/>
                </w:tcPr>
                <w:p w14:paraId="2EB779F2" w14:textId="38C64A99" w:rsidR="001A1CF8" w:rsidRDefault="001A1CF8" w:rsidP="001A1CF8">
                  <w:pPr>
                    <w:rPr>
                      <w:sz w:val="24"/>
                      <w:szCs w:val="24"/>
                    </w:rPr>
                  </w:pPr>
                  <w:r w:rsidRPr="001A1CF8">
                    <w:rPr>
                      <w:sz w:val="18"/>
                      <w:szCs w:val="18"/>
                      <w:u w:val="single"/>
                    </w:rPr>
                    <w:t>Value</w:t>
                  </w:r>
                </w:p>
              </w:tc>
              <w:tc>
                <w:tcPr>
                  <w:tcW w:w="1521" w:type="dxa"/>
                  <w:tcBorders>
                    <w:right w:val="single" w:sz="18" w:space="0" w:color="auto"/>
                  </w:tcBorders>
                  <w:shd w:val="clear" w:color="auto" w:fill="auto"/>
                </w:tcPr>
                <w:p w14:paraId="4FCE02A5" w14:textId="77777777" w:rsidR="001A1CF8" w:rsidRDefault="001A1CF8" w:rsidP="001A1CF8">
                  <w:pPr>
                    <w:rPr>
                      <w:sz w:val="24"/>
                      <w:szCs w:val="24"/>
                    </w:rPr>
                  </w:pPr>
                </w:p>
              </w:tc>
              <w:tc>
                <w:tcPr>
                  <w:tcW w:w="2619" w:type="dxa"/>
                  <w:gridSpan w:val="2"/>
                  <w:tcBorders>
                    <w:left w:val="single" w:sz="18" w:space="0" w:color="auto"/>
                  </w:tcBorders>
                  <w:shd w:val="clear" w:color="auto" w:fill="auto"/>
                </w:tcPr>
                <w:p w14:paraId="2D484397" w14:textId="77777777" w:rsidR="001A1CF8" w:rsidRDefault="001A1CF8" w:rsidP="001A1CF8">
                  <w:pPr>
                    <w:rPr>
                      <w:sz w:val="24"/>
                      <w:szCs w:val="24"/>
                    </w:rPr>
                  </w:pPr>
                </w:p>
              </w:tc>
              <w:tc>
                <w:tcPr>
                  <w:tcW w:w="1530" w:type="dxa"/>
                  <w:gridSpan w:val="3"/>
                  <w:shd w:val="clear" w:color="auto" w:fill="auto"/>
                </w:tcPr>
                <w:p w14:paraId="4855D4EB" w14:textId="40B55A96" w:rsidR="001A1CF8" w:rsidRDefault="001A1CF8" w:rsidP="001A1CF8">
                  <w:pPr>
                    <w:rPr>
                      <w:sz w:val="24"/>
                      <w:szCs w:val="24"/>
                    </w:rPr>
                  </w:pPr>
                  <w:r w:rsidRPr="001A1CF8">
                    <w:rPr>
                      <w:sz w:val="18"/>
                      <w:szCs w:val="18"/>
                      <w:u w:val="single"/>
                    </w:rPr>
                    <w:t>Value</w:t>
                  </w:r>
                </w:p>
              </w:tc>
              <w:tc>
                <w:tcPr>
                  <w:tcW w:w="1499" w:type="dxa"/>
                  <w:shd w:val="clear" w:color="auto" w:fill="auto"/>
                </w:tcPr>
                <w:p w14:paraId="1FD605C7" w14:textId="77777777" w:rsidR="001A1CF8" w:rsidRDefault="001A1CF8" w:rsidP="001A1CF8">
                  <w:pPr>
                    <w:rPr>
                      <w:sz w:val="24"/>
                      <w:szCs w:val="24"/>
                    </w:rPr>
                  </w:pPr>
                </w:p>
              </w:tc>
            </w:tr>
            <w:tr w:rsidR="004376B1" w14:paraId="2CFF03F1" w14:textId="77777777" w:rsidTr="004376B1">
              <w:tc>
                <w:tcPr>
                  <w:tcW w:w="1875" w:type="dxa"/>
                  <w:shd w:val="clear" w:color="auto" w:fill="auto"/>
                </w:tcPr>
                <w:p w14:paraId="5563ECCE" w14:textId="13BF0833" w:rsidR="004376B1" w:rsidRDefault="004376B1" w:rsidP="001A1CF8">
                  <w:pPr>
                    <w:rPr>
                      <w:sz w:val="24"/>
                      <w:szCs w:val="24"/>
                    </w:rPr>
                  </w:pPr>
                  <w:r w:rsidRPr="001A1CF8">
                    <w:rPr>
                      <w:sz w:val="18"/>
                      <w:szCs w:val="18"/>
                    </w:rPr>
                    <w:t xml:space="preserve">Level 5 (18 responses) </w:t>
                  </w:r>
                </w:p>
              </w:tc>
              <w:tc>
                <w:tcPr>
                  <w:tcW w:w="720" w:type="dxa"/>
                  <w:shd w:val="clear" w:color="auto" w:fill="auto"/>
                </w:tcPr>
                <w:p w14:paraId="0734DCCD" w14:textId="7580872E" w:rsidR="004376B1" w:rsidRDefault="004376B1" w:rsidP="001A1CF8">
                  <w:pPr>
                    <w:rPr>
                      <w:sz w:val="24"/>
                      <w:szCs w:val="24"/>
                    </w:rPr>
                  </w:pPr>
                  <w:r>
                    <w:rPr>
                      <w:sz w:val="24"/>
                      <w:szCs w:val="24"/>
                    </w:rPr>
                    <w:t>x</w:t>
                  </w:r>
                </w:p>
              </w:tc>
              <w:tc>
                <w:tcPr>
                  <w:tcW w:w="900" w:type="dxa"/>
                  <w:gridSpan w:val="2"/>
                  <w:shd w:val="clear" w:color="auto" w:fill="auto"/>
                </w:tcPr>
                <w:p w14:paraId="6E9C7F7B" w14:textId="77777777" w:rsidR="004376B1" w:rsidRDefault="004376B1" w:rsidP="001A1CF8">
                  <w:pPr>
                    <w:rPr>
                      <w:sz w:val="24"/>
                      <w:szCs w:val="24"/>
                    </w:rPr>
                  </w:pPr>
                  <w:r w:rsidRPr="001A1CF8">
                    <w:rPr>
                      <w:sz w:val="18"/>
                      <w:szCs w:val="18"/>
                    </w:rPr>
                    <w:t>5 points</w:t>
                  </w:r>
                </w:p>
              </w:tc>
              <w:tc>
                <w:tcPr>
                  <w:tcW w:w="630" w:type="dxa"/>
                  <w:shd w:val="clear" w:color="auto" w:fill="auto"/>
                </w:tcPr>
                <w:p w14:paraId="12074BF7" w14:textId="00E3ACEB" w:rsidR="004376B1" w:rsidRDefault="004376B1" w:rsidP="001A1CF8">
                  <w:pPr>
                    <w:rPr>
                      <w:sz w:val="24"/>
                      <w:szCs w:val="24"/>
                    </w:rPr>
                  </w:pPr>
                  <w:r>
                    <w:rPr>
                      <w:sz w:val="24"/>
                      <w:szCs w:val="24"/>
                    </w:rPr>
                    <w:t>=</w:t>
                  </w:r>
                </w:p>
              </w:tc>
              <w:tc>
                <w:tcPr>
                  <w:tcW w:w="1521" w:type="dxa"/>
                  <w:tcBorders>
                    <w:right w:val="single" w:sz="18" w:space="0" w:color="auto"/>
                  </w:tcBorders>
                  <w:shd w:val="clear" w:color="auto" w:fill="auto"/>
                </w:tcPr>
                <w:p w14:paraId="3CF9EBA4" w14:textId="02E5ABD9" w:rsidR="004376B1" w:rsidRDefault="004376B1" w:rsidP="001A1CF8">
                  <w:pPr>
                    <w:rPr>
                      <w:sz w:val="24"/>
                      <w:szCs w:val="24"/>
                    </w:rPr>
                  </w:pPr>
                  <w:r w:rsidRPr="001A1CF8">
                    <w:rPr>
                      <w:sz w:val="18"/>
                      <w:szCs w:val="18"/>
                    </w:rPr>
                    <w:t>Subtotal A / 90</w:t>
                  </w:r>
                </w:p>
              </w:tc>
              <w:tc>
                <w:tcPr>
                  <w:tcW w:w="1899" w:type="dxa"/>
                  <w:tcBorders>
                    <w:left w:val="single" w:sz="18" w:space="0" w:color="auto"/>
                  </w:tcBorders>
                  <w:shd w:val="clear" w:color="auto" w:fill="auto"/>
                </w:tcPr>
                <w:p w14:paraId="74A78232" w14:textId="3DCB13CB" w:rsidR="004376B1" w:rsidRDefault="004376B1" w:rsidP="001A1CF8">
                  <w:pPr>
                    <w:rPr>
                      <w:sz w:val="24"/>
                      <w:szCs w:val="24"/>
                    </w:rPr>
                  </w:pPr>
                  <w:r w:rsidRPr="001A1CF8">
                    <w:rPr>
                      <w:sz w:val="18"/>
                      <w:szCs w:val="18"/>
                    </w:rPr>
                    <w:t>Level 5 (18 responses)</w:t>
                  </w:r>
                </w:p>
              </w:tc>
              <w:tc>
                <w:tcPr>
                  <w:tcW w:w="720" w:type="dxa"/>
                  <w:shd w:val="clear" w:color="auto" w:fill="auto"/>
                </w:tcPr>
                <w:p w14:paraId="5AD1D329" w14:textId="32C32C83" w:rsidR="004376B1" w:rsidRDefault="004376B1" w:rsidP="001A1CF8">
                  <w:pPr>
                    <w:rPr>
                      <w:sz w:val="24"/>
                      <w:szCs w:val="24"/>
                    </w:rPr>
                  </w:pPr>
                  <w:r>
                    <w:rPr>
                      <w:sz w:val="24"/>
                      <w:szCs w:val="24"/>
                    </w:rPr>
                    <w:t>x</w:t>
                  </w:r>
                </w:p>
              </w:tc>
              <w:tc>
                <w:tcPr>
                  <w:tcW w:w="900" w:type="dxa"/>
                  <w:gridSpan w:val="2"/>
                  <w:shd w:val="clear" w:color="auto" w:fill="auto"/>
                </w:tcPr>
                <w:p w14:paraId="1E766A73" w14:textId="77777777" w:rsidR="004376B1" w:rsidRDefault="004376B1" w:rsidP="001A1CF8">
                  <w:pPr>
                    <w:rPr>
                      <w:sz w:val="24"/>
                      <w:szCs w:val="24"/>
                    </w:rPr>
                  </w:pPr>
                  <w:r w:rsidRPr="001A1CF8">
                    <w:rPr>
                      <w:sz w:val="18"/>
                      <w:szCs w:val="18"/>
                    </w:rPr>
                    <w:t>5 points</w:t>
                  </w:r>
                </w:p>
              </w:tc>
              <w:tc>
                <w:tcPr>
                  <w:tcW w:w="630" w:type="dxa"/>
                  <w:shd w:val="clear" w:color="auto" w:fill="auto"/>
                </w:tcPr>
                <w:p w14:paraId="3E9EAAE7" w14:textId="127B065A" w:rsidR="004376B1" w:rsidRDefault="004376B1" w:rsidP="001A1CF8">
                  <w:pPr>
                    <w:rPr>
                      <w:sz w:val="24"/>
                      <w:szCs w:val="24"/>
                    </w:rPr>
                  </w:pPr>
                  <w:r>
                    <w:rPr>
                      <w:sz w:val="24"/>
                      <w:szCs w:val="24"/>
                    </w:rPr>
                    <w:t>=</w:t>
                  </w:r>
                </w:p>
              </w:tc>
              <w:tc>
                <w:tcPr>
                  <w:tcW w:w="1499" w:type="dxa"/>
                  <w:shd w:val="clear" w:color="auto" w:fill="auto"/>
                </w:tcPr>
                <w:p w14:paraId="680F460B" w14:textId="017C8693" w:rsidR="004376B1" w:rsidRDefault="004376B1" w:rsidP="001A1CF8">
                  <w:pPr>
                    <w:rPr>
                      <w:sz w:val="24"/>
                      <w:szCs w:val="24"/>
                    </w:rPr>
                  </w:pPr>
                  <w:r w:rsidRPr="001A1CF8">
                    <w:rPr>
                      <w:sz w:val="18"/>
                      <w:szCs w:val="18"/>
                    </w:rPr>
                    <w:t>Subtotal A / 90</w:t>
                  </w:r>
                </w:p>
              </w:tc>
            </w:tr>
            <w:tr w:rsidR="004376B1" w14:paraId="664EFE46" w14:textId="77777777" w:rsidTr="004376B1">
              <w:tc>
                <w:tcPr>
                  <w:tcW w:w="1875" w:type="dxa"/>
                  <w:shd w:val="clear" w:color="auto" w:fill="auto"/>
                </w:tcPr>
                <w:p w14:paraId="01DA3E34" w14:textId="4171699A" w:rsidR="004376B1" w:rsidRDefault="004376B1" w:rsidP="001A1CF8">
                  <w:pPr>
                    <w:rPr>
                      <w:sz w:val="24"/>
                      <w:szCs w:val="24"/>
                    </w:rPr>
                  </w:pPr>
                  <w:r w:rsidRPr="001A1CF8">
                    <w:rPr>
                      <w:sz w:val="18"/>
                      <w:szCs w:val="18"/>
                    </w:rPr>
                    <w:t>Level 4 (14 responses)</w:t>
                  </w:r>
                </w:p>
              </w:tc>
              <w:tc>
                <w:tcPr>
                  <w:tcW w:w="720" w:type="dxa"/>
                  <w:shd w:val="clear" w:color="auto" w:fill="auto"/>
                </w:tcPr>
                <w:p w14:paraId="4E46F643" w14:textId="0A6B3636" w:rsidR="004376B1" w:rsidRDefault="004376B1" w:rsidP="001A1CF8">
                  <w:pPr>
                    <w:rPr>
                      <w:sz w:val="24"/>
                      <w:szCs w:val="24"/>
                    </w:rPr>
                  </w:pPr>
                  <w:r>
                    <w:rPr>
                      <w:sz w:val="24"/>
                      <w:szCs w:val="24"/>
                    </w:rPr>
                    <w:t>x</w:t>
                  </w:r>
                </w:p>
              </w:tc>
              <w:tc>
                <w:tcPr>
                  <w:tcW w:w="900" w:type="dxa"/>
                  <w:gridSpan w:val="2"/>
                  <w:shd w:val="clear" w:color="auto" w:fill="auto"/>
                </w:tcPr>
                <w:p w14:paraId="56A5D91E" w14:textId="77777777" w:rsidR="004376B1" w:rsidRDefault="004376B1" w:rsidP="001A1CF8">
                  <w:pPr>
                    <w:rPr>
                      <w:sz w:val="24"/>
                      <w:szCs w:val="24"/>
                    </w:rPr>
                  </w:pPr>
                  <w:r w:rsidRPr="001A1CF8">
                    <w:rPr>
                      <w:sz w:val="18"/>
                      <w:szCs w:val="18"/>
                    </w:rPr>
                    <w:t>4 points</w:t>
                  </w:r>
                </w:p>
              </w:tc>
              <w:tc>
                <w:tcPr>
                  <w:tcW w:w="630" w:type="dxa"/>
                  <w:shd w:val="clear" w:color="auto" w:fill="auto"/>
                </w:tcPr>
                <w:p w14:paraId="13624DA5" w14:textId="396D5EAE" w:rsidR="004376B1" w:rsidRDefault="004376B1" w:rsidP="001A1CF8">
                  <w:pPr>
                    <w:rPr>
                      <w:sz w:val="24"/>
                      <w:szCs w:val="24"/>
                    </w:rPr>
                  </w:pPr>
                  <w:r>
                    <w:rPr>
                      <w:sz w:val="24"/>
                      <w:szCs w:val="24"/>
                    </w:rPr>
                    <w:t>=</w:t>
                  </w:r>
                </w:p>
              </w:tc>
              <w:tc>
                <w:tcPr>
                  <w:tcW w:w="1521" w:type="dxa"/>
                  <w:tcBorders>
                    <w:right w:val="single" w:sz="18" w:space="0" w:color="auto"/>
                  </w:tcBorders>
                  <w:shd w:val="clear" w:color="auto" w:fill="auto"/>
                </w:tcPr>
                <w:p w14:paraId="3D497C99" w14:textId="1B49C2B2" w:rsidR="004376B1" w:rsidRDefault="004376B1" w:rsidP="001A1CF8">
                  <w:pPr>
                    <w:rPr>
                      <w:sz w:val="24"/>
                      <w:szCs w:val="24"/>
                    </w:rPr>
                  </w:pPr>
                  <w:r w:rsidRPr="001A1CF8">
                    <w:rPr>
                      <w:sz w:val="18"/>
                      <w:szCs w:val="18"/>
                    </w:rPr>
                    <w:t>Subtotal B / 64</w:t>
                  </w:r>
                </w:p>
              </w:tc>
              <w:tc>
                <w:tcPr>
                  <w:tcW w:w="1899" w:type="dxa"/>
                  <w:tcBorders>
                    <w:left w:val="single" w:sz="18" w:space="0" w:color="auto"/>
                  </w:tcBorders>
                  <w:shd w:val="clear" w:color="auto" w:fill="auto"/>
                </w:tcPr>
                <w:p w14:paraId="065694FE" w14:textId="174BDFF3" w:rsidR="004376B1" w:rsidRDefault="004376B1" w:rsidP="001A1CF8">
                  <w:pPr>
                    <w:rPr>
                      <w:sz w:val="24"/>
                      <w:szCs w:val="24"/>
                    </w:rPr>
                  </w:pPr>
                  <w:r w:rsidRPr="001A1CF8">
                    <w:rPr>
                      <w:sz w:val="18"/>
                      <w:szCs w:val="18"/>
                    </w:rPr>
                    <w:t xml:space="preserve">Level 4 (14 responses) </w:t>
                  </w:r>
                </w:p>
              </w:tc>
              <w:tc>
                <w:tcPr>
                  <w:tcW w:w="720" w:type="dxa"/>
                  <w:shd w:val="clear" w:color="auto" w:fill="auto"/>
                </w:tcPr>
                <w:p w14:paraId="473DC243" w14:textId="3F0AAAEB" w:rsidR="004376B1" w:rsidRDefault="004376B1" w:rsidP="001A1CF8">
                  <w:pPr>
                    <w:rPr>
                      <w:sz w:val="24"/>
                      <w:szCs w:val="24"/>
                    </w:rPr>
                  </w:pPr>
                  <w:r>
                    <w:rPr>
                      <w:sz w:val="24"/>
                      <w:szCs w:val="24"/>
                    </w:rPr>
                    <w:t>x</w:t>
                  </w:r>
                </w:p>
              </w:tc>
              <w:tc>
                <w:tcPr>
                  <w:tcW w:w="900" w:type="dxa"/>
                  <w:gridSpan w:val="2"/>
                  <w:shd w:val="clear" w:color="auto" w:fill="auto"/>
                </w:tcPr>
                <w:p w14:paraId="26915B0B" w14:textId="77777777" w:rsidR="004376B1" w:rsidRDefault="004376B1" w:rsidP="001A1CF8">
                  <w:pPr>
                    <w:rPr>
                      <w:sz w:val="24"/>
                      <w:szCs w:val="24"/>
                    </w:rPr>
                  </w:pPr>
                  <w:r w:rsidRPr="001A1CF8">
                    <w:rPr>
                      <w:sz w:val="18"/>
                      <w:szCs w:val="18"/>
                    </w:rPr>
                    <w:t>4 points</w:t>
                  </w:r>
                </w:p>
              </w:tc>
              <w:tc>
                <w:tcPr>
                  <w:tcW w:w="630" w:type="dxa"/>
                  <w:shd w:val="clear" w:color="auto" w:fill="auto"/>
                </w:tcPr>
                <w:p w14:paraId="27526586" w14:textId="315E8758" w:rsidR="004376B1" w:rsidRDefault="004376B1" w:rsidP="001A1CF8">
                  <w:pPr>
                    <w:rPr>
                      <w:sz w:val="24"/>
                      <w:szCs w:val="24"/>
                    </w:rPr>
                  </w:pPr>
                  <w:r>
                    <w:rPr>
                      <w:sz w:val="24"/>
                      <w:szCs w:val="24"/>
                    </w:rPr>
                    <w:t>=</w:t>
                  </w:r>
                </w:p>
              </w:tc>
              <w:tc>
                <w:tcPr>
                  <w:tcW w:w="1499" w:type="dxa"/>
                  <w:shd w:val="clear" w:color="auto" w:fill="auto"/>
                </w:tcPr>
                <w:p w14:paraId="1F0D8FB6" w14:textId="6C8468C2" w:rsidR="004376B1" w:rsidRDefault="004376B1" w:rsidP="001A1CF8">
                  <w:pPr>
                    <w:rPr>
                      <w:sz w:val="24"/>
                      <w:szCs w:val="24"/>
                    </w:rPr>
                  </w:pPr>
                  <w:r w:rsidRPr="001A1CF8">
                    <w:rPr>
                      <w:sz w:val="18"/>
                      <w:szCs w:val="18"/>
                    </w:rPr>
                    <w:t>Subtotal B / 64</w:t>
                  </w:r>
                </w:p>
              </w:tc>
            </w:tr>
            <w:tr w:rsidR="004376B1" w14:paraId="7680BF18" w14:textId="77777777" w:rsidTr="004376B1">
              <w:tc>
                <w:tcPr>
                  <w:tcW w:w="1875" w:type="dxa"/>
                  <w:shd w:val="clear" w:color="auto" w:fill="auto"/>
                </w:tcPr>
                <w:p w14:paraId="11377069" w14:textId="77777777" w:rsidR="004376B1" w:rsidRDefault="004376B1" w:rsidP="001A1CF8">
                  <w:pPr>
                    <w:rPr>
                      <w:sz w:val="24"/>
                      <w:szCs w:val="24"/>
                    </w:rPr>
                  </w:pPr>
                  <w:r w:rsidRPr="001A1CF8">
                    <w:rPr>
                      <w:sz w:val="18"/>
                      <w:szCs w:val="18"/>
                    </w:rPr>
                    <w:t xml:space="preserve">Level 3 (3 responses) </w:t>
                  </w:r>
                </w:p>
              </w:tc>
              <w:tc>
                <w:tcPr>
                  <w:tcW w:w="720" w:type="dxa"/>
                  <w:shd w:val="clear" w:color="auto" w:fill="auto"/>
                </w:tcPr>
                <w:p w14:paraId="7F7DB65E" w14:textId="4E0B66B2" w:rsidR="004376B1" w:rsidRDefault="004376B1" w:rsidP="001A1CF8">
                  <w:pPr>
                    <w:rPr>
                      <w:sz w:val="24"/>
                      <w:szCs w:val="24"/>
                    </w:rPr>
                  </w:pPr>
                  <w:r>
                    <w:rPr>
                      <w:sz w:val="24"/>
                      <w:szCs w:val="24"/>
                    </w:rPr>
                    <w:t>x</w:t>
                  </w:r>
                </w:p>
              </w:tc>
              <w:tc>
                <w:tcPr>
                  <w:tcW w:w="900" w:type="dxa"/>
                  <w:gridSpan w:val="2"/>
                  <w:shd w:val="clear" w:color="auto" w:fill="auto"/>
                </w:tcPr>
                <w:p w14:paraId="606D83FD" w14:textId="77777777" w:rsidR="004376B1" w:rsidRDefault="004376B1" w:rsidP="001A1CF8">
                  <w:pPr>
                    <w:rPr>
                      <w:sz w:val="24"/>
                      <w:szCs w:val="24"/>
                    </w:rPr>
                  </w:pPr>
                  <w:r w:rsidRPr="001A1CF8">
                    <w:rPr>
                      <w:sz w:val="18"/>
                      <w:szCs w:val="18"/>
                    </w:rPr>
                    <w:t>3 points</w:t>
                  </w:r>
                </w:p>
              </w:tc>
              <w:tc>
                <w:tcPr>
                  <w:tcW w:w="630" w:type="dxa"/>
                  <w:shd w:val="clear" w:color="auto" w:fill="auto"/>
                </w:tcPr>
                <w:p w14:paraId="14CA266B" w14:textId="33D6129A" w:rsidR="004376B1" w:rsidRDefault="004376B1" w:rsidP="001A1CF8">
                  <w:pPr>
                    <w:rPr>
                      <w:sz w:val="24"/>
                      <w:szCs w:val="24"/>
                    </w:rPr>
                  </w:pPr>
                  <w:r>
                    <w:rPr>
                      <w:sz w:val="24"/>
                      <w:szCs w:val="24"/>
                    </w:rPr>
                    <w:t>=</w:t>
                  </w:r>
                </w:p>
              </w:tc>
              <w:tc>
                <w:tcPr>
                  <w:tcW w:w="1521" w:type="dxa"/>
                  <w:tcBorders>
                    <w:right w:val="single" w:sz="18" w:space="0" w:color="auto"/>
                  </w:tcBorders>
                  <w:shd w:val="clear" w:color="auto" w:fill="auto"/>
                </w:tcPr>
                <w:p w14:paraId="2A308A80" w14:textId="1CA5AF3E" w:rsidR="004376B1" w:rsidRDefault="004376B1" w:rsidP="001A1CF8">
                  <w:pPr>
                    <w:rPr>
                      <w:sz w:val="24"/>
                      <w:szCs w:val="24"/>
                    </w:rPr>
                  </w:pPr>
                  <w:r w:rsidRPr="001A1CF8">
                    <w:rPr>
                      <w:sz w:val="18"/>
                      <w:szCs w:val="18"/>
                    </w:rPr>
                    <w:t>Subtotal C / 9</w:t>
                  </w:r>
                </w:p>
              </w:tc>
              <w:tc>
                <w:tcPr>
                  <w:tcW w:w="1899" w:type="dxa"/>
                  <w:tcBorders>
                    <w:left w:val="single" w:sz="18" w:space="0" w:color="auto"/>
                  </w:tcBorders>
                  <w:shd w:val="clear" w:color="auto" w:fill="auto"/>
                </w:tcPr>
                <w:p w14:paraId="6938F68E" w14:textId="1D5939B5" w:rsidR="004376B1" w:rsidRDefault="004376B1" w:rsidP="001A1CF8">
                  <w:pPr>
                    <w:rPr>
                      <w:sz w:val="24"/>
                      <w:szCs w:val="24"/>
                    </w:rPr>
                  </w:pPr>
                  <w:r w:rsidRPr="001A1CF8">
                    <w:rPr>
                      <w:sz w:val="18"/>
                      <w:szCs w:val="18"/>
                    </w:rPr>
                    <w:t xml:space="preserve">Level 3 (3 responses) </w:t>
                  </w:r>
                </w:p>
              </w:tc>
              <w:tc>
                <w:tcPr>
                  <w:tcW w:w="720" w:type="dxa"/>
                  <w:shd w:val="clear" w:color="auto" w:fill="auto"/>
                </w:tcPr>
                <w:p w14:paraId="233E09BF" w14:textId="0307A29C" w:rsidR="004376B1" w:rsidRDefault="004376B1" w:rsidP="001A1CF8">
                  <w:pPr>
                    <w:rPr>
                      <w:sz w:val="24"/>
                      <w:szCs w:val="24"/>
                    </w:rPr>
                  </w:pPr>
                  <w:r>
                    <w:rPr>
                      <w:sz w:val="24"/>
                      <w:szCs w:val="24"/>
                    </w:rPr>
                    <w:t>x</w:t>
                  </w:r>
                </w:p>
              </w:tc>
              <w:tc>
                <w:tcPr>
                  <w:tcW w:w="900" w:type="dxa"/>
                  <w:gridSpan w:val="2"/>
                  <w:shd w:val="clear" w:color="auto" w:fill="auto"/>
                </w:tcPr>
                <w:p w14:paraId="3D584210" w14:textId="77777777" w:rsidR="004376B1" w:rsidRDefault="004376B1" w:rsidP="001A1CF8">
                  <w:pPr>
                    <w:rPr>
                      <w:sz w:val="24"/>
                      <w:szCs w:val="24"/>
                    </w:rPr>
                  </w:pPr>
                  <w:r w:rsidRPr="001A1CF8">
                    <w:rPr>
                      <w:sz w:val="18"/>
                      <w:szCs w:val="18"/>
                    </w:rPr>
                    <w:t>3 points</w:t>
                  </w:r>
                </w:p>
              </w:tc>
              <w:tc>
                <w:tcPr>
                  <w:tcW w:w="630" w:type="dxa"/>
                  <w:shd w:val="clear" w:color="auto" w:fill="auto"/>
                </w:tcPr>
                <w:p w14:paraId="1E08B589" w14:textId="32B1293C" w:rsidR="004376B1" w:rsidRDefault="004376B1" w:rsidP="001A1CF8">
                  <w:pPr>
                    <w:rPr>
                      <w:sz w:val="24"/>
                      <w:szCs w:val="24"/>
                    </w:rPr>
                  </w:pPr>
                  <w:r>
                    <w:rPr>
                      <w:sz w:val="24"/>
                      <w:szCs w:val="24"/>
                    </w:rPr>
                    <w:t>=</w:t>
                  </w:r>
                </w:p>
              </w:tc>
              <w:tc>
                <w:tcPr>
                  <w:tcW w:w="1499" w:type="dxa"/>
                  <w:shd w:val="clear" w:color="auto" w:fill="auto"/>
                </w:tcPr>
                <w:p w14:paraId="4F2917BE" w14:textId="7D181B94" w:rsidR="004376B1" w:rsidRDefault="004376B1" w:rsidP="001A1CF8">
                  <w:pPr>
                    <w:rPr>
                      <w:sz w:val="24"/>
                      <w:szCs w:val="24"/>
                    </w:rPr>
                  </w:pPr>
                  <w:r w:rsidRPr="001A1CF8">
                    <w:rPr>
                      <w:sz w:val="18"/>
                      <w:szCs w:val="18"/>
                    </w:rPr>
                    <w:t>Subtotal C / 9</w:t>
                  </w:r>
                </w:p>
              </w:tc>
            </w:tr>
            <w:tr w:rsidR="004376B1" w14:paraId="12596000" w14:textId="77777777" w:rsidTr="004376B1">
              <w:tc>
                <w:tcPr>
                  <w:tcW w:w="1875" w:type="dxa"/>
                  <w:shd w:val="clear" w:color="auto" w:fill="auto"/>
                </w:tcPr>
                <w:p w14:paraId="62BF1F3B" w14:textId="77777777" w:rsidR="004376B1" w:rsidRDefault="004376B1" w:rsidP="001A1CF8">
                  <w:pPr>
                    <w:rPr>
                      <w:sz w:val="24"/>
                      <w:szCs w:val="24"/>
                    </w:rPr>
                  </w:pPr>
                  <w:r w:rsidRPr="001A1CF8">
                    <w:rPr>
                      <w:sz w:val="18"/>
                      <w:szCs w:val="18"/>
                    </w:rPr>
                    <w:t xml:space="preserve">Level 2 (3 responses) </w:t>
                  </w:r>
                </w:p>
              </w:tc>
              <w:tc>
                <w:tcPr>
                  <w:tcW w:w="720" w:type="dxa"/>
                  <w:shd w:val="clear" w:color="auto" w:fill="auto"/>
                </w:tcPr>
                <w:p w14:paraId="442FEB36" w14:textId="266F9388" w:rsidR="004376B1" w:rsidRDefault="004376B1" w:rsidP="001A1CF8">
                  <w:pPr>
                    <w:rPr>
                      <w:sz w:val="24"/>
                      <w:szCs w:val="24"/>
                    </w:rPr>
                  </w:pPr>
                  <w:r>
                    <w:rPr>
                      <w:sz w:val="24"/>
                      <w:szCs w:val="24"/>
                    </w:rPr>
                    <w:t>x</w:t>
                  </w:r>
                </w:p>
              </w:tc>
              <w:tc>
                <w:tcPr>
                  <w:tcW w:w="900" w:type="dxa"/>
                  <w:gridSpan w:val="2"/>
                  <w:shd w:val="clear" w:color="auto" w:fill="auto"/>
                </w:tcPr>
                <w:p w14:paraId="2AC80EE0" w14:textId="77777777" w:rsidR="004376B1" w:rsidRDefault="004376B1" w:rsidP="001A1CF8">
                  <w:pPr>
                    <w:rPr>
                      <w:sz w:val="24"/>
                      <w:szCs w:val="24"/>
                    </w:rPr>
                  </w:pPr>
                  <w:r w:rsidRPr="001A1CF8">
                    <w:rPr>
                      <w:sz w:val="18"/>
                      <w:szCs w:val="18"/>
                    </w:rPr>
                    <w:t>2 points</w:t>
                  </w:r>
                </w:p>
              </w:tc>
              <w:tc>
                <w:tcPr>
                  <w:tcW w:w="630" w:type="dxa"/>
                  <w:shd w:val="clear" w:color="auto" w:fill="auto"/>
                </w:tcPr>
                <w:p w14:paraId="7D5F5B3E" w14:textId="369477A3" w:rsidR="004376B1" w:rsidRDefault="004376B1" w:rsidP="001A1CF8">
                  <w:pPr>
                    <w:rPr>
                      <w:sz w:val="24"/>
                      <w:szCs w:val="24"/>
                    </w:rPr>
                  </w:pPr>
                  <w:r>
                    <w:rPr>
                      <w:sz w:val="24"/>
                      <w:szCs w:val="24"/>
                    </w:rPr>
                    <w:t>=</w:t>
                  </w:r>
                </w:p>
              </w:tc>
              <w:tc>
                <w:tcPr>
                  <w:tcW w:w="1521" w:type="dxa"/>
                  <w:tcBorders>
                    <w:right w:val="single" w:sz="18" w:space="0" w:color="auto"/>
                  </w:tcBorders>
                  <w:shd w:val="clear" w:color="auto" w:fill="auto"/>
                </w:tcPr>
                <w:p w14:paraId="4E3C578D" w14:textId="30B05332" w:rsidR="004376B1" w:rsidRDefault="004376B1" w:rsidP="001A1CF8">
                  <w:pPr>
                    <w:rPr>
                      <w:sz w:val="24"/>
                      <w:szCs w:val="24"/>
                    </w:rPr>
                  </w:pPr>
                  <w:r w:rsidRPr="001A1CF8">
                    <w:rPr>
                      <w:sz w:val="18"/>
                      <w:szCs w:val="18"/>
                    </w:rPr>
                    <w:t>Subtotal D / 6</w:t>
                  </w:r>
                </w:p>
              </w:tc>
              <w:tc>
                <w:tcPr>
                  <w:tcW w:w="1899" w:type="dxa"/>
                  <w:tcBorders>
                    <w:left w:val="single" w:sz="18" w:space="0" w:color="auto"/>
                  </w:tcBorders>
                  <w:shd w:val="clear" w:color="auto" w:fill="auto"/>
                </w:tcPr>
                <w:p w14:paraId="3770B21A" w14:textId="5C9D65DA" w:rsidR="004376B1" w:rsidRDefault="004376B1" w:rsidP="001A1CF8">
                  <w:pPr>
                    <w:rPr>
                      <w:sz w:val="24"/>
                      <w:szCs w:val="24"/>
                    </w:rPr>
                  </w:pPr>
                  <w:r w:rsidRPr="001A1CF8">
                    <w:rPr>
                      <w:sz w:val="18"/>
                      <w:szCs w:val="18"/>
                    </w:rPr>
                    <w:t xml:space="preserve">Level 2 (3 responses) </w:t>
                  </w:r>
                </w:p>
              </w:tc>
              <w:tc>
                <w:tcPr>
                  <w:tcW w:w="720" w:type="dxa"/>
                  <w:shd w:val="clear" w:color="auto" w:fill="auto"/>
                </w:tcPr>
                <w:p w14:paraId="7BF7AA24" w14:textId="56F5E395" w:rsidR="004376B1" w:rsidRDefault="004376B1" w:rsidP="001A1CF8">
                  <w:pPr>
                    <w:rPr>
                      <w:sz w:val="24"/>
                      <w:szCs w:val="24"/>
                    </w:rPr>
                  </w:pPr>
                  <w:r>
                    <w:rPr>
                      <w:sz w:val="24"/>
                      <w:szCs w:val="24"/>
                    </w:rPr>
                    <w:t>x</w:t>
                  </w:r>
                </w:p>
              </w:tc>
              <w:tc>
                <w:tcPr>
                  <w:tcW w:w="900" w:type="dxa"/>
                  <w:gridSpan w:val="2"/>
                  <w:shd w:val="clear" w:color="auto" w:fill="auto"/>
                </w:tcPr>
                <w:p w14:paraId="2A3C45BC" w14:textId="77777777" w:rsidR="004376B1" w:rsidRDefault="004376B1" w:rsidP="001A1CF8">
                  <w:pPr>
                    <w:rPr>
                      <w:sz w:val="24"/>
                      <w:szCs w:val="24"/>
                    </w:rPr>
                  </w:pPr>
                  <w:r w:rsidRPr="001A1CF8">
                    <w:rPr>
                      <w:sz w:val="18"/>
                      <w:szCs w:val="18"/>
                    </w:rPr>
                    <w:t>2 points</w:t>
                  </w:r>
                </w:p>
              </w:tc>
              <w:tc>
                <w:tcPr>
                  <w:tcW w:w="630" w:type="dxa"/>
                  <w:shd w:val="clear" w:color="auto" w:fill="auto"/>
                </w:tcPr>
                <w:p w14:paraId="674712D3" w14:textId="11D1A4EF" w:rsidR="004376B1" w:rsidRDefault="004376B1" w:rsidP="001A1CF8">
                  <w:pPr>
                    <w:rPr>
                      <w:sz w:val="24"/>
                      <w:szCs w:val="24"/>
                    </w:rPr>
                  </w:pPr>
                  <w:r>
                    <w:rPr>
                      <w:sz w:val="24"/>
                      <w:szCs w:val="24"/>
                    </w:rPr>
                    <w:t>=</w:t>
                  </w:r>
                </w:p>
              </w:tc>
              <w:tc>
                <w:tcPr>
                  <w:tcW w:w="1499" w:type="dxa"/>
                  <w:shd w:val="clear" w:color="auto" w:fill="auto"/>
                </w:tcPr>
                <w:p w14:paraId="2CAA0A49" w14:textId="48C0E940" w:rsidR="004376B1" w:rsidRDefault="004376B1" w:rsidP="001A1CF8">
                  <w:pPr>
                    <w:rPr>
                      <w:sz w:val="24"/>
                      <w:szCs w:val="24"/>
                    </w:rPr>
                  </w:pPr>
                  <w:r w:rsidRPr="001A1CF8">
                    <w:rPr>
                      <w:sz w:val="18"/>
                      <w:szCs w:val="18"/>
                    </w:rPr>
                    <w:t>Subtotal D / 6</w:t>
                  </w:r>
                </w:p>
              </w:tc>
            </w:tr>
            <w:tr w:rsidR="004376B1" w14:paraId="7C9C00A3" w14:textId="77777777" w:rsidTr="004376B1">
              <w:tc>
                <w:tcPr>
                  <w:tcW w:w="1875" w:type="dxa"/>
                  <w:shd w:val="clear" w:color="auto" w:fill="auto"/>
                </w:tcPr>
                <w:p w14:paraId="474703D7" w14:textId="77777777" w:rsidR="004376B1" w:rsidRDefault="004376B1" w:rsidP="001A1CF8">
                  <w:pPr>
                    <w:rPr>
                      <w:sz w:val="24"/>
                      <w:szCs w:val="24"/>
                    </w:rPr>
                  </w:pPr>
                  <w:r w:rsidRPr="001A1CF8">
                    <w:rPr>
                      <w:sz w:val="18"/>
                      <w:szCs w:val="18"/>
                    </w:rPr>
                    <w:t xml:space="preserve">Level 1 (2 responses) </w:t>
                  </w:r>
                </w:p>
              </w:tc>
              <w:tc>
                <w:tcPr>
                  <w:tcW w:w="720" w:type="dxa"/>
                  <w:shd w:val="clear" w:color="auto" w:fill="auto"/>
                </w:tcPr>
                <w:p w14:paraId="09C48C70" w14:textId="217B8C38" w:rsidR="004376B1" w:rsidRDefault="004376B1" w:rsidP="001A1CF8">
                  <w:pPr>
                    <w:rPr>
                      <w:sz w:val="24"/>
                      <w:szCs w:val="24"/>
                    </w:rPr>
                  </w:pPr>
                  <w:r>
                    <w:rPr>
                      <w:sz w:val="24"/>
                      <w:szCs w:val="24"/>
                    </w:rPr>
                    <w:t>x</w:t>
                  </w:r>
                </w:p>
              </w:tc>
              <w:tc>
                <w:tcPr>
                  <w:tcW w:w="900" w:type="dxa"/>
                  <w:gridSpan w:val="2"/>
                  <w:shd w:val="clear" w:color="auto" w:fill="auto"/>
                </w:tcPr>
                <w:p w14:paraId="17826830" w14:textId="77777777" w:rsidR="004376B1" w:rsidRDefault="004376B1" w:rsidP="001A1CF8">
                  <w:pPr>
                    <w:rPr>
                      <w:sz w:val="24"/>
                      <w:szCs w:val="24"/>
                    </w:rPr>
                  </w:pPr>
                  <w:r w:rsidRPr="001A1CF8">
                    <w:rPr>
                      <w:sz w:val="18"/>
                      <w:szCs w:val="18"/>
                    </w:rPr>
                    <w:t>1 point</w:t>
                  </w:r>
                </w:p>
              </w:tc>
              <w:tc>
                <w:tcPr>
                  <w:tcW w:w="630" w:type="dxa"/>
                  <w:shd w:val="clear" w:color="auto" w:fill="auto"/>
                </w:tcPr>
                <w:p w14:paraId="544C4D26" w14:textId="78BE6BF2" w:rsidR="004376B1" w:rsidRDefault="004376B1" w:rsidP="001A1CF8">
                  <w:pPr>
                    <w:rPr>
                      <w:sz w:val="24"/>
                      <w:szCs w:val="24"/>
                    </w:rPr>
                  </w:pPr>
                  <w:r>
                    <w:rPr>
                      <w:sz w:val="24"/>
                      <w:szCs w:val="24"/>
                    </w:rPr>
                    <w:t>=</w:t>
                  </w:r>
                </w:p>
              </w:tc>
              <w:tc>
                <w:tcPr>
                  <w:tcW w:w="1521" w:type="dxa"/>
                  <w:tcBorders>
                    <w:right w:val="single" w:sz="18" w:space="0" w:color="auto"/>
                  </w:tcBorders>
                  <w:shd w:val="clear" w:color="auto" w:fill="auto"/>
                </w:tcPr>
                <w:p w14:paraId="0E3887F2" w14:textId="1215F741" w:rsidR="004376B1" w:rsidRDefault="004376B1" w:rsidP="001A1CF8">
                  <w:pPr>
                    <w:rPr>
                      <w:sz w:val="24"/>
                      <w:szCs w:val="24"/>
                    </w:rPr>
                  </w:pPr>
                  <w:r w:rsidRPr="001A1CF8">
                    <w:rPr>
                      <w:sz w:val="18"/>
                      <w:szCs w:val="18"/>
                    </w:rPr>
                    <w:t>Subtotal E / 2</w:t>
                  </w:r>
                </w:p>
              </w:tc>
              <w:tc>
                <w:tcPr>
                  <w:tcW w:w="1899" w:type="dxa"/>
                  <w:tcBorders>
                    <w:left w:val="single" w:sz="18" w:space="0" w:color="auto"/>
                  </w:tcBorders>
                  <w:shd w:val="clear" w:color="auto" w:fill="auto"/>
                </w:tcPr>
                <w:p w14:paraId="3BE7C9D1" w14:textId="43BA495E" w:rsidR="004376B1" w:rsidRDefault="004376B1" w:rsidP="001A1CF8">
                  <w:pPr>
                    <w:rPr>
                      <w:sz w:val="24"/>
                      <w:szCs w:val="24"/>
                    </w:rPr>
                  </w:pPr>
                  <w:r w:rsidRPr="001A1CF8">
                    <w:rPr>
                      <w:sz w:val="18"/>
                      <w:szCs w:val="18"/>
                    </w:rPr>
                    <w:t xml:space="preserve">Level 1 (2 response) </w:t>
                  </w:r>
                </w:p>
              </w:tc>
              <w:tc>
                <w:tcPr>
                  <w:tcW w:w="720" w:type="dxa"/>
                  <w:shd w:val="clear" w:color="auto" w:fill="auto"/>
                </w:tcPr>
                <w:p w14:paraId="29C3F9ED" w14:textId="3228ABB7" w:rsidR="004376B1" w:rsidRDefault="004376B1" w:rsidP="001A1CF8">
                  <w:pPr>
                    <w:rPr>
                      <w:sz w:val="24"/>
                      <w:szCs w:val="24"/>
                    </w:rPr>
                  </w:pPr>
                  <w:r>
                    <w:rPr>
                      <w:sz w:val="24"/>
                      <w:szCs w:val="24"/>
                    </w:rPr>
                    <w:t>x</w:t>
                  </w:r>
                </w:p>
              </w:tc>
              <w:tc>
                <w:tcPr>
                  <w:tcW w:w="900" w:type="dxa"/>
                  <w:gridSpan w:val="2"/>
                  <w:shd w:val="clear" w:color="auto" w:fill="auto"/>
                </w:tcPr>
                <w:p w14:paraId="4C62CF96" w14:textId="77777777" w:rsidR="004376B1" w:rsidRDefault="004376B1" w:rsidP="001A1CF8">
                  <w:pPr>
                    <w:rPr>
                      <w:sz w:val="24"/>
                      <w:szCs w:val="24"/>
                    </w:rPr>
                  </w:pPr>
                  <w:r w:rsidRPr="001A1CF8">
                    <w:rPr>
                      <w:sz w:val="18"/>
                      <w:szCs w:val="18"/>
                    </w:rPr>
                    <w:t>1 point</w:t>
                  </w:r>
                </w:p>
              </w:tc>
              <w:tc>
                <w:tcPr>
                  <w:tcW w:w="630" w:type="dxa"/>
                  <w:shd w:val="clear" w:color="auto" w:fill="auto"/>
                </w:tcPr>
                <w:p w14:paraId="5E57B69D" w14:textId="05C280BE" w:rsidR="004376B1" w:rsidRDefault="004376B1" w:rsidP="001A1CF8">
                  <w:pPr>
                    <w:rPr>
                      <w:sz w:val="24"/>
                      <w:szCs w:val="24"/>
                    </w:rPr>
                  </w:pPr>
                  <w:r>
                    <w:rPr>
                      <w:sz w:val="24"/>
                      <w:szCs w:val="24"/>
                    </w:rPr>
                    <w:t>=</w:t>
                  </w:r>
                </w:p>
              </w:tc>
              <w:tc>
                <w:tcPr>
                  <w:tcW w:w="1499" w:type="dxa"/>
                  <w:shd w:val="clear" w:color="auto" w:fill="auto"/>
                </w:tcPr>
                <w:p w14:paraId="660583BE" w14:textId="281917CE" w:rsidR="004376B1" w:rsidRDefault="004376B1" w:rsidP="001A1CF8">
                  <w:pPr>
                    <w:rPr>
                      <w:sz w:val="24"/>
                      <w:szCs w:val="24"/>
                    </w:rPr>
                  </w:pPr>
                  <w:r w:rsidRPr="001A1CF8">
                    <w:rPr>
                      <w:sz w:val="18"/>
                      <w:szCs w:val="18"/>
                    </w:rPr>
                    <w:t>Subtotal E / 2</w:t>
                  </w:r>
                </w:p>
              </w:tc>
            </w:tr>
            <w:tr w:rsidR="001A1CF8" w14:paraId="36CF6DF9" w14:textId="77777777" w:rsidTr="004376B1">
              <w:tc>
                <w:tcPr>
                  <w:tcW w:w="2595" w:type="dxa"/>
                  <w:gridSpan w:val="2"/>
                  <w:shd w:val="clear" w:color="auto" w:fill="auto"/>
                </w:tcPr>
                <w:p w14:paraId="07D16DA5" w14:textId="6FBB36CD" w:rsidR="001A1CF8" w:rsidRDefault="001A1CF8" w:rsidP="001A1CF8">
                  <w:pPr>
                    <w:rPr>
                      <w:sz w:val="24"/>
                      <w:szCs w:val="24"/>
                    </w:rPr>
                  </w:pPr>
                  <w:r w:rsidRPr="001A1CF8">
                    <w:rPr>
                      <w:b/>
                      <w:bCs/>
                      <w:sz w:val="18"/>
                      <w:szCs w:val="18"/>
                    </w:rPr>
                    <w:t>Total (40) responses divided by</w:t>
                  </w:r>
                </w:p>
              </w:tc>
              <w:tc>
                <w:tcPr>
                  <w:tcW w:w="1530" w:type="dxa"/>
                  <w:gridSpan w:val="3"/>
                  <w:shd w:val="clear" w:color="auto" w:fill="auto"/>
                </w:tcPr>
                <w:p w14:paraId="0868134F" w14:textId="7C324D88" w:rsidR="001A1CF8" w:rsidRDefault="001A1CF8" w:rsidP="001A1CF8">
                  <w:pPr>
                    <w:rPr>
                      <w:sz w:val="24"/>
                      <w:szCs w:val="24"/>
                    </w:rPr>
                  </w:pPr>
                  <w:r w:rsidRPr="001A1CF8">
                    <w:rPr>
                      <w:b/>
                      <w:bCs/>
                      <w:sz w:val="18"/>
                      <w:szCs w:val="18"/>
                    </w:rPr>
                    <w:t>Total point value</w:t>
                  </w:r>
                </w:p>
              </w:tc>
              <w:tc>
                <w:tcPr>
                  <w:tcW w:w="1521" w:type="dxa"/>
                  <w:tcBorders>
                    <w:right w:val="single" w:sz="18" w:space="0" w:color="auto"/>
                  </w:tcBorders>
                  <w:shd w:val="clear" w:color="auto" w:fill="auto"/>
                </w:tcPr>
                <w:p w14:paraId="1BB9724D" w14:textId="30D54C60" w:rsidR="001A1CF8" w:rsidRDefault="001A1CF8" w:rsidP="001A1CF8">
                  <w:pPr>
                    <w:rPr>
                      <w:sz w:val="24"/>
                      <w:szCs w:val="24"/>
                    </w:rPr>
                  </w:pPr>
                  <w:r w:rsidRPr="001A1CF8">
                    <w:rPr>
                      <w:b/>
                      <w:bCs/>
                      <w:sz w:val="18"/>
                      <w:szCs w:val="18"/>
                    </w:rPr>
                    <w:t xml:space="preserve"> (171)= 4.28 SBI</w:t>
                  </w:r>
                </w:p>
              </w:tc>
              <w:tc>
                <w:tcPr>
                  <w:tcW w:w="2619" w:type="dxa"/>
                  <w:gridSpan w:val="2"/>
                  <w:tcBorders>
                    <w:left w:val="single" w:sz="18" w:space="0" w:color="auto"/>
                  </w:tcBorders>
                  <w:shd w:val="clear" w:color="auto" w:fill="auto"/>
                </w:tcPr>
                <w:p w14:paraId="3462BB15" w14:textId="65B31373" w:rsidR="001A1CF8" w:rsidRDefault="001A1CF8" w:rsidP="001A1CF8">
                  <w:pPr>
                    <w:rPr>
                      <w:sz w:val="24"/>
                      <w:szCs w:val="24"/>
                    </w:rPr>
                  </w:pPr>
                  <w:r w:rsidRPr="001A1CF8">
                    <w:rPr>
                      <w:b/>
                      <w:bCs/>
                      <w:sz w:val="18"/>
                      <w:szCs w:val="18"/>
                    </w:rPr>
                    <w:t>Total (40) responses divided by</w:t>
                  </w:r>
                </w:p>
              </w:tc>
              <w:tc>
                <w:tcPr>
                  <w:tcW w:w="1530" w:type="dxa"/>
                  <w:gridSpan w:val="3"/>
                  <w:shd w:val="clear" w:color="auto" w:fill="auto"/>
                </w:tcPr>
                <w:p w14:paraId="4AAFD691" w14:textId="21FE05E9" w:rsidR="001A1CF8" w:rsidRDefault="001A1CF8" w:rsidP="001A1CF8">
                  <w:pPr>
                    <w:rPr>
                      <w:sz w:val="24"/>
                      <w:szCs w:val="24"/>
                    </w:rPr>
                  </w:pPr>
                  <w:r w:rsidRPr="001A1CF8">
                    <w:rPr>
                      <w:b/>
                      <w:bCs/>
                      <w:sz w:val="18"/>
                      <w:szCs w:val="18"/>
                    </w:rPr>
                    <w:t>Total point value</w:t>
                  </w:r>
                </w:p>
              </w:tc>
              <w:tc>
                <w:tcPr>
                  <w:tcW w:w="1499" w:type="dxa"/>
                  <w:shd w:val="clear" w:color="auto" w:fill="auto"/>
                </w:tcPr>
                <w:p w14:paraId="56C74C85" w14:textId="29357B09" w:rsidR="001A1CF8" w:rsidRDefault="001A1CF8" w:rsidP="001A1CF8">
                  <w:pPr>
                    <w:rPr>
                      <w:sz w:val="24"/>
                      <w:szCs w:val="24"/>
                    </w:rPr>
                  </w:pPr>
                  <w:r w:rsidRPr="001A1CF8">
                    <w:rPr>
                      <w:b/>
                      <w:bCs/>
                      <w:sz w:val="18"/>
                      <w:szCs w:val="18"/>
                    </w:rPr>
                    <w:t xml:space="preserve"> (171) = 4.28 SBI</w:t>
                  </w:r>
                </w:p>
              </w:tc>
            </w:tr>
          </w:tbl>
          <w:p w14:paraId="56A54E1C" w14:textId="66308DAB" w:rsidR="0056282D" w:rsidRDefault="0056282D" w:rsidP="001A1CF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5647"/>
            </w:tblGrid>
            <w:tr w:rsidR="004376B1" w14:paraId="37A9B9C7" w14:textId="77777777" w:rsidTr="004376B1">
              <w:trPr>
                <w:trHeight w:val="828"/>
              </w:trPr>
              <w:tc>
                <w:tcPr>
                  <w:tcW w:w="11294" w:type="dxa"/>
                  <w:gridSpan w:val="2"/>
                  <w:shd w:val="clear" w:color="auto" w:fill="2F5496" w:themeFill="accent1" w:themeFillShade="BF"/>
                  <w:vAlign w:val="center"/>
                </w:tcPr>
                <w:p w14:paraId="4A5D5909" w14:textId="18767248" w:rsidR="004376B1" w:rsidRPr="00221CEA" w:rsidRDefault="008124BE" w:rsidP="00076C4C">
                  <w:pPr>
                    <w:rPr>
                      <w:b/>
                      <w:color w:val="FFFFFF" w:themeColor="background1"/>
                      <w:sz w:val="30"/>
                      <w:szCs w:val="30"/>
                    </w:rPr>
                  </w:pPr>
                  <w:r>
                    <w:rPr>
                      <w:b/>
                      <w:color w:val="FFFFFF" w:themeColor="background1"/>
                      <w:sz w:val="30"/>
                      <w:szCs w:val="30"/>
                    </w:rPr>
                    <w:t xml:space="preserve">NFSB Award </w:t>
                  </w:r>
                  <w:r w:rsidR="004376B1" w:rsidRPr="00221CEA">
                    <w:rPr>
                      <w:b/>
                      <w:color w:val="FFFFFF" w:themeColor="background1"/>
                      <w:sz w:val="30"/>
                      <w:szCs w:val="30"/>
                    </w:rPr>
                    <w:t>Customer Bill of Rights</w:t>
                  </w:r>
                  <w:r w:rsidR="009B191A">
                    <w:rPr>
                      <w:b/>
                      <w:color w:val="FFFFFF" w:themeColor="background1"/>
                      <w:sz w:val="30"/>
                      <w:szCs w:val="30"/>
                    </w:rPr>
                    <w:t xml:space="preserve"> Guideline</w:t>
                  </w:r>
                </w:p>
                <w:p w14:paraId="662F179C" w14:textId="53F6832F" w:rsidR="004376B1" w:rsidRPr="009B191A" w:rsidRDefault="004376B1" w:rsidP="009B191A">
                  <w:pPr>
                    <w:rPr>
                      <w:color w:val="FFFFFF" w:themeColor="background1"/>
                      <w:sz w:val="16"/>
                      <w:szCs w:val="16"/>
                    </w:rPr>
                  </w:pPr>
                  <w:r w:rsidRPr="00076C4C">
                    <w:rPr>
                      <w:color w:val="FFFFFF" w:themeColor="background1"/>
                      <w:sz w:val="16"/>
                      <w:szCs w:val="16"/>
                    </w:rPr>
                    <w:t>Established - 199</w:t>
                  </w:r>
                  <w:r w:rsidR="009B191A">
                    <w:rPr>
                      <w:color w:val="FFFFFF" w:themeColor="background1"/>
                      <w:sz w:val="16"/>
                      <w:szCs w:val="16"/>
                    </w:rPr>
                    <w:t>4</w:t>
                  </w:r>
                </w:p>
              </w:tc>
            </w:tr>
            <w:tr w:rsidR="00076C4C" w14:paraId="048C214D" w14:textId="77777777" w:rsidTr="00076C4C">
              <w:tc>
                <w:tcPr>
                  <w:tcW w:w="5647" w:type="dxa"/>
                </w:tcPr>
                <w:p w14:paraId="0F9A1C0F" w14:textId="77777777" w:rsidR="00FE4DC5" w:rsidRPr="00FE4DC5" w:rsidRDefault="00FE4DC5" w:rsidP="00076C4C">
                  <w:pPr>
                    <w:jc w:val="both"/>
                    <w:rPr>
                      <w:b/>
                      <w:sz w:val="10"/>
                      <w:szCs w:val="10"/>
                    </w:rPr>
                  </w:pPr>
                </w:p>
                <w:p w14:paraId="17752B27" w14:textId="1B3306D7" w:rsidR="00076C4C" w:rsidRPr="00076C4C" w:rsidRDefault="00076C4C" w:rsidP="00076C4C">
                  <w:pPr>
                    <w:jc w:val="both"/>
                    <w:rPr>
                      <w:b/>
                      <w:sz w:val="18"/>
                      <w:szCs w:val="18"/>
                    </w:rPr>
                  </w:pPr>
                  <w:r w:rsidRPr="00076C4C">
                    <w:rPr>
                      <w:b/>
                      <w:sz w:val="18"/>
                      <w:szCs w:val="18"/>
                    </w:rPr>
                    <w:t>Article I:</w:t>
                  </w:r>
                </w:p>
                <w:p w14:paraId="05052DB8" w14:textId="77777777" w:rsidR="00076C4C" w:rsidRPr="00076C4C" w:rsidRDefault="00076C4C" w:rsidP="00076C4C">
                  <w:pPr>
                    <w:jc w:val="both"/>
                    <w:rPr>
                      <w:sz w:val="18"/>
                      <w:szCs w:val="18"/>
                    </w:rPr>
                  </w:pPr>
                  <w:r w:rsidRPr="00076C4C">
                    <w:rPr>
                      <w:sz w:val="18"/>
                      <w:szCs w:val="18"/>
                    </w:rPr>
                    <w:t>Companies agree to provide goods and services that will consistently exceed their customer’s expectations.</w:t>
                  </w:r>
                </w:p>
                <w:p w14:paraId="32B7A850" w14:textId="77777777" w:rsidR="00076C4C" w:rsidRPr="00076C4C" w:rsidRDefault="00076C4C" w:rsidP="00076C4C">
                  <w:pPr>
                    <w:jc w:val="both"/>
                    <w:rPr>
                      <w:sz w:val="10"/>
                      <w:szCs w:val="10"/>
                    </w:rPr>
                  </w:pPr>
                </w:p>
                <w:p w14:paraId="4AC0CEF1" w14:textId="77777777" w:rsidR="00076C4C" w:rsidRPr="00076C4C" w:rsidRDefault="00076C4C" w:rsidP="00076C4C">
                  <w:pPr>
                    <w:jc w:val="both"/>
                    <w:rPr>
                      <w:b/>
                      <w:sz w:val="18"/>
                      <w:szCs w:val="18"/>
                    </w:rPr>
                  </w:pPr>
                  <w:r w:rsidRPr="00076C4C">
                    <w:rPr>
                      <w:b/>
                      <w:sz w:val="18"/>
                      <w:szCs w:val="18"/>
                    </w:rPr>
                    <w:t>Article II:</w:t>
                  </w:r>
                </w:p>
                <w:p w14:paraId="61CFD122" w14:textId="77777777" w:rsidR="00076C4C" w:rsidRPr="00076C4C" w:rsidRDefault="00076C4C" w:rsidP="00076C4C">
                  <w:pPr>
                    <w:jc w:val="both"/>
                    <w:rPr>
                      <w:sz w:val="18"/>
                      <w:szCs w:val="18"/>
                    </w:rPr>
                  </w:pPr>
                  <w:r w:rsidRPr="00076C4C">
                    <w:rPr>
                      <w:sz w:val="18"/>
                      <w:szCs w:val="18"/>
                    </w:rPr>
                    <w:t>Companies agree to provide their employees a workplace where employees are motivated, trained and skilled, customers are valued, and relationships are maximized.</w:t>
                  </w:r>
                </w:p>
                <w:p w14:paraId="7C970088" w14:textId="77777777" w:rsidR="00076C4C" w:rsidRPr="00076C4C" w:rsidRDefault="00076C4C" w:rsidP="00076C4C">
                  <w:pPr>
                    <w:jc w:val="both"/>
                    <w:rPr>
                      <w:sz w:val="10"/>
                      <w:szCs w:val="10"/>
                    </w:rPr>
                  </w:pPr>
                </w:p>
                <w:p w14:paraId="47FC52EC" w14:textId="77777777" w:rsidR="00076C4C" w:rsidRPr="00076C4C" w:rsidRDefault="00076C4C" w:rsidP="00076C4C">
                  <w:pPr>
                    <w:jc w:val="both"/>
                    <w:rPr>
                      <w:b/>
                      <w:sz w:val="18"/>
                      <w:szCs w:val="18"/>
                    </w:rPr>
                  </w:pPr>
                  <w:r w:rsidRPr="00076C4C">
                    <w:rPr>
                      <w:b/>
                      <w:sz w:val="18"/>
                      <w:szCs w:val="18"/>
                    </w:rPr>
                    <w:t>Article III:</w:t>
                  </w:r>
                </w:p>
                <w:p w14:paraId="360608C4" w14:textId="77777777" w:rsidR="00076C4C" w:rsidRPr="00076C4C" w:rsidRDefault="00076C4C" w:rsidP="00076C4C">
                  <w:pPr>
                    <w:jc w:val="both"/>
                    <w:rPr>
                      <w:sz w:val="18"/>
                      <w:szCs w:val="18"/>
                    </w:rPr>
                  </w:pPr>
                  <w:r w:rsidRPr="00076C4C">
                    <w:rPr>
                      <w:sz w:val="18"/>
                      <w:szCs w:val="18"/>
                    </w:rPr>
                    <w:t>Companies agree to recognize and reward their employees who consistently exceed their customer’s expectations.</w:t>
                  </w:r>
                </w:p>
                <w:p w14:paraId="208B29A9" w14:textId="77777777" w:rsidR="00076C4C" w:rsidRPr="00076C4C" w:rsidRDefault="00076C4C" w:rsidP="00076C4C">
                  <w:pPr>
                    <w:jc w:val="both"/>
                    <w:rPr>
                      <w:sz w:val="10"/>
                      <w:szCs w:val="10"/>
                    </w:rPr>
                  </w:pPr>
                </w:p>
                <w:p w14:paraId="15CA05CC" w14:textId="77777777" w:rsidR="00076C4C" w:rsidRPr="00076C4C" w:rsidRDefault="00076C4C" w:rsidP="00076C4C">
                  <w:pPr>
                    <w:jc w:val="both"/>
                    <w:rPr>
                      <w:b/>
                      <w:sz w:val="18"/>
                      <w:szCs w:val="18"/>
                    </w:rPr>
                  </w:pPr>
                  <w:r w:rsidRPr="00076C4C">
                    <w:rPr>
                      <w:b/>
                      <w:sz w:val="18"/>
                      <w:szCs w:val="18"/>
                    </w:rPr>
                    <w:t>Article IV:</w:t>
                  </w:r>
                </w:p>
                <w:p w14:paraId="024D2EF1" w14:textId="77777777" w:rsidR="00076C4C" w:rsidRPr="00076C4C" w:rsidRDefault="00076C4C" w:rsidP="00076C4C">
                  <w:pPr>
                    <w:jc w:val="both"/>
                    <w:rPr>
                      <w:sz w:val="10"/>
                      <w:szCs w:val="10"/>
                    </w:rPr>
                  </w:pPr>
                </w:p>
                <w:p w14:paraId="660E8022" w14:textId="77777777" w:rsidR="00076C4C" w:rsidRPr="00076C4C" w:rsidRDefault="00076C4C" w:rsidP="00076C4C">
                  <w:pPr>
                    <w:jc w:val="both"/>
                    <w:rPr>
                      <w:sz w:val="18"/>
                      <w:szCs w:val="18"/>
                    </w:rPr>
                  </w:pPr>
                  <w:r w:rsidRPr="00076C4C">
                    <w:rPr>
                      <w:sz w:val="18"/>
                      <w:szCs w:val="18"/>
                    </w:rPr>
                    <w:t>Companies agree to consistently measure the level of customer satisfaction with a company’s product and services.</w:t>
                  </w:r>
                </w:p>
                <w:p w14:paraId="5556751D" w14:textId="77777777" w:rsidR="00076C4C" w:rsidRPr="00076C4C" w:rsidRDefault="00076C4C" w:rsidP="00076C4C">
                  <w:pPr>
                    <w:jc w:val="both"/>
                    <w:rPr>
                      <w:sz w:val="18"/>
                      <w:szCs w:val="18"/>
                    </w:rPr>
                  </w:pPr>
                </w:p>
                <w:p w14:paraId="70D7C56E" w14:textId="77777777" w:rsidR="00076C4C" w:rsidRPr="00076C4C" w:rsidRDefault="00076C4C" w:rsidP="00076C4C">
                  <w:pPr>
                    <w:jc w:val="both"/>
                    <w:rPr>
                      <w:b/>
                      <w:sz w:val="18"/>
                      <w:szCs w:val="18"/>
                    </w:rPr>
                  </w:pPr>
                  <w:r w:rsidRPr="00076C4C">
                    <w:rPr>
                      <w:b/>
                      <w:sz w:val="18"/>
                      <w:szCs w:val="18"/>
                    </w:rPr>
                    <w:t>Article V:</w:t>
                  </w:r>
                </w:p>
                <w:p w14:paraId="0548D5AC" w14:textId="3429FBC6" w:rsidR="00076C4C" w:rsidRPr="00076C4C" w:rsidRDefault="00076C4C" w:rsidP="00076C4C">
                  <w:pPr>
                    <w:jc w:val="both"/>
                    <w:rPr>
                      <w:sz w:val="18"/>
                      <w:szCs w:val="18"/>
                    </w:rPr>
                  </w:pPr>
                  <w:r w:rsidRPr="00076C4C">
                    <w:rPr>
                      <w:sz w:val="18"/>
                      <w:szCs w:val="18"/>
                    </w:rPr>
                    <w:t>Companies agree to consistently report levels of customer satisfaction for products and services to executive management and the enterprise.</w:t>
                  </w:r>
                </w:p>
              </w:tc>
              <w:tc>
                <w:tcPr>
                  <w:tcW w:w="5647" w:type="dxa"/>
                </w:tcPr>
                <w:p w14:paraId="10F44A42" w14:textId="77777777" w:rsidR="00FE4DC5" w:rsidRPr="00FE4DC5" w:rsidRDefault="00FE4DC5" w:rsidP="00076C4C">
                  <w:pPr>
                    <w:jc w:val="both"/>
                    <w:rPr>
                      <w:b/>
                      <w:sz w:val="10"/>
                      <w:szCs w:val="10"/>
                    </w:rPr>
                  </w:pPr>
                </w:p>
                <w:p w14:paraId="25077D8F" w14:textId="26331689" w:rsidR="00076C4C" w:rsidRPr="00076C4C" w:rsidRDefault="00076C4C" w:rsidP="00076C4C">
                  <w:pPr>
                    <w:jc w:val="both"/>
                    <w:rPr>
                      <w:b/>
                      <w:sz w:val="18"/>
                      <w:szCs w:val="18"/>
                    </w:rPr>
                  </w:pPr>
                  <w:r w:rsidRPr="00076C4C">
                    <w:rPr>
                      <w:b/>
                      <w:sz w:val="18"/>
                      <w:szCs w:val="18"/>
                    </w:rPr>
                    <w:t>Article VI:</w:t>
                  </w:r>
                </w:p>
                <w:p w14:paraId="2B68AB65" w14:textId="77777777" w:rsidR="00076C4C" w:rsidRPr="00076C4C" w:rsidRDefault="00076C4C" w:rsidP="00076C4C">
                  <w:pPr>
                    <w:jc w:val="both"/>
                    <w:rPr>
                      <w:sz w:val="18"/>
                      <w:szCs w:val="18"/>
                    </w:rPr>
                  </w:pPr>
                  <w:r w:rsidRPr="00076C4C">
                    <w:rPr>
                      <w:sz w:val="18"/>
                      <w:szCs w:val="18"/>
                    </w:rPr>
                    <w:t>Companies agree to adopt change management strategy to consistently provide corrective action to poor performance in products and services.</w:t>
                  </w:r>
                </w:p>
                <w:p w14:paraId="6984105D" w14:textId="77777777" w:rsidR="00076C4C" w:rsidRPr="00076C4C" w:rsidRDefault="00076C4C" w:rsidP="00076C4C">
                  <w:pPr>
                    <w:jc w:val="both"/>
                    <w:rPr>
                      <w:sz w:val="10"/>
                      <w:szCs w:val="10"/>
                    </w:rPr>
                  </w:pPr>
                </w:p>
                <w:p w14:paraId="0A74B55A" w14:textId="77777777" w:rsidR="00076C4C" w:rsidRPr="00076C4C" w:rsidRDefault="00076C4C" w:rsidP="00076C4C">
                  <w:pPr>
                    <w:jc w:val="both"/>
                    <w:rPr>
                      <w:b/>
                      <w:sz w:val="18"/>
                      <w:szCs w:val="18"/>
                    </w:rPr>
                  </w:pPr>
                  <w:r w:rsidRPr="00076C4C">
                    <w:rPr>
                      <w:b/>
                      <w:sz w:val="18"/>
                      <w:szCs w:val="18"/>
                    </w:rPr>
                    <w:t>Article VII:</w:t>
                  </w:r>
                </w:p>
                <w:p w14:paraId="3A5DF0F2" w14:textId="77777777" w:rsidR="00076C4C" w:rsidRPr="00076C4C" w:rsidRDefault="00076C4C" w:rsidP="00076C4C">
                  <w:pPr>
                    <w:jc w:val="both"/>
                    <w:rPr>
                      <w:sz w:val="18"/>
                      <w:szCs w:val="18"/>
                    </w:rPr>
                  </w:pPr>
                  <w:r w:rsidRPr="00076C4C">
                    <w:rPr>
                      <w:sz w:val="18"/>
                      <w:szCs w:val="18"/>
                    </w:rPr>
                    <w:t>Companies agree to consistently measure their performance versus industry standards and/or best in class company performers.</w:t>
                  </w:r>
                </w:p>
                <w:p w14:paraId="40F1570B" w14:textId="77777777" w:rsidR="00076C4C" w:rsidRPr="00076C4C" w:rsidRDefault="00076C4C" w:rsidP="00076C4C">
                  <w:pPr>
                    <w:jc w:val="both"/>
                    <w:rPr>
                      <w:sz w:val="10"/>
                      <w:szCs w:val="10"/>
                    </w:rPr>
                  </w:pPr>
                </w:p>
                <w:p w14:paraId="05A526C1" w14:textId="77777777" w:rsidR="00076C4C" w:rsidRPr="00076C4C" w:rsidRDefault="00076C4C" w:rsidP="00076C4C">
                  <w:pPr>
                    <w:jc w:val="both"/>
                    <w:rPr>
                      <w:b/>
                      <w:sz w:val="18"/>
                      <w:szCs w:val="18"/>
                    </w:rPr>
                  </w:pPr>
                  <w:r w:rsidRPr="00076C4C">
                    <w:rPr>
                      <w:b/>
                      <w:sz w:val="18"/>
                      <w:szCs w:val="18"/>
                    </w:rPr>
                    <w:t>Article VIII:</w:t>
                  </w:r>
                </w:p>
                <w:p w14:paraId="2BCC60DA" w14:textId="69227A8B" w:rsidR="00076C4C" w:rsidRPr="00076C4C" w:rsidRDefault="00076C4C" w:rsidP="00076C4C">
                  <w:pPr>
                    <w:jc w:val="both"/>
                    <w:rPr>
                      <w:sz w:val="18"/>
                      <w:szCs w:val="18"/>
                    </w:rPr>
                  </w:pPr>
                  <w:r w:rsidRPr="00076C4C">
                    <w:rPr>
                      <w:sz w:val="18"/>
                      <w:szCs w:val="18"/>
                    </w:rPr>
                    <w:t>Companies agree</w:t>
                  </w:r>
                  <w:r w:rsidR="00FE4DC5">
                    <w:rPr>
                      <w:sz w:val="18"/>
                      <w:szCs w:val="18"/>
                    </w:rPr>
                    <w:t xml:space="preserve"> </w:t>
                  </w:r>
                  <w:r w:rsidRPr="00076C4C">
                    <w:rPr>
                      <w:sz w:val="18"/>
                      <w:szCs w:val="18"/>
                    </w:rPr>
                    <w:t>to consistently validate their customer satisfaction results via being recipients of industry awards-certifications and/or independent audit of their customer satisfaction results.</w:t>
                  </w:r>
                </w:p>
                <w:p w14:paraId="5AAC6183" w14:textId="77777777" w:rsidR="00076C4C" w:rsidRPr="00076C4C" w:rsidRDefault="00076C4C" w:rsidP="00076C4C">
                  <w:pPr>
                    <w:jc w:val="center"/>
                    <w:rPr>
                      <w:sz w:val="10"/>
                      <w:szCs w:val="10"/>
                    </w:rPr>
                  </w:pPr>
                </w:p>
                <w:p w14:paraId="2225C206" w14:textId="77777777" w:rsidR="00076C4C" w:rsidRPr="00076C4C" w:rsidRDefault="00076C4C" w:rsidP="00076C4C">
                  <w:pPr>
                    <w:jc w:val="both"/>
                    <w:rPr>
                      <w:b/>
                      <w:sz w:val="18"/>
                      <w:szCs w:val="18"/>
                    </w:rPr>
                  </w:pPr>
                  <w:r w:rsidRPr="00076C4C">
                    <w:rPr>
                      <w:b/>
                      <w:sz w:val="18"/>
                      <w:szCs w:val="18"/>
                    </w:rPr>
                    <w:t>Article IX:</w:t>
                  </w:r>
                </w:p>
                <w:p w14:paraId="1D911515" w14:textId="77777777" w:rsidR="00076C4C" w:rsidRPr="00076C4C" w:rsidRDefault="00076C4C" w:rsidP="00076C4C">
                  <w:pPr>
                    <w:jc w:val="both"/>
                    <w:rPr>
                      <w:sz w:val="18"/>
                      <w:szCs w:val="18"/>
                    </w:rPr>
                  </w:pPr>
                  <w:r w:rsidRPr="00076C4C">
                    <w:rPr>
                      <w:sz w:val="18"/>
                      <w:szCs w:val="18"/>
                    </w:rPr>
                    <w:t>Companies agree to a chief customer advocate position, reporting to the President whose sole responsibility is the ombudsmen for customers, and who consistently reports the level of customer satisfaction on product and services and provides the corrective action plan to the executive management team.</w:t>
                  </w:r>
                </w:p>
                <w:p w14:paraId="61E2833F" w14:textId="77777777" w:rsidR="00076C4C" w:rsidRPr="00076C4C" w:rsidRDefault="00076C4C" w:rsidP="00076C4C">
                  <w:pPr>
                    <w:jc w:val="both"/>
                    <w:rPr>
                      <w:sz w:val="10"/>
                      <w:szCs w:val="10"/>
                    </w:rPr>
                  </w:pPr>
                </w:p>
                <w:p w14:paraId="49D1DFB4" w14:textId="77777777" w:rsidR="00076C4C" w:rsidRPr="00076C4C" w:rsidRDefault="00076C4C" w:rsidP="00076C4C">
                  <w:pPr>
                    <w:jc w:val="both"/>
                    <w:rPr>
                      <w:b/>
                      <w:sz w:val="18"/>
                      <w:szCs w:val="18"/>
                    </w:rPr>
                  </w:pPr>
                  <w:r w:rsidRPr="00076C4C">
                    <w:rPr>
                      <w:b/>
                      <w:sz w:val="18"/>
                      <w:szCs w:val="18"/>
                    </w:rPr>
                    <w:t>Article X:</w:t>
                  </w:r>
                </w:p>
                <w:p w14:paraId="5639DACF" w14:textId="50C517AC" w:rsidR="00076C4C" w:rsidRPr="00076C4C" w:rsidRDefault="00076C4C" w:rsidP="00076C4C">
                  <w:pPr>
                    <w:jc w:val="both"/>
                    <w:rPr>
                      <w:sz w:val="18"/>
                      <w:szCs w:val="18"/>
                    </w:rPr>
                  </w:pPr>
                  <w:r w:rsidRPr="00076C4C">
                    <w:rPr>
                      <w:sz w:val="18"/>
                      <w:szCs w:val="18"/>
                    </w:rPr>
                    <w:t>Companies agree to annual review of their customer experience management strategy (CX) which must include Article I thru Article IX.</w:t>
                  </w:r>
                </w:p>
              </w:tc>
            </w:tr>
          </w:tbl>
          <w:p w14:paraId="587EFAEA" w14:textId="78902BF4" w:rsidR="00DE5E5E" w:rsidRPr="000C54A5" w:rsidRDefault="00DE5E5E" w:rsidP="000C54A5">
            <w:pPr>
              <w:jc w:val="both"/>
            </w:pPr>
          </w:p>
        </w:tc>
      </w:tr>
      <w:tr w:rsidR="00076C4C" w14:paraId="5658D42D" w14:textId="77777777" w:rsidTr="00A56EC0">
        <w:trPr>
          <w:jc w:val="center"/>
        </w:trPr>
        <w:tc>
          <w:tcPr>
            <w:tcW w:w="1255" w:type="dxa"/>
            <w:gridSpan w:val="2"/>
            <w:shd w:val="clear" w:color="auto" w:fill="2F5496" w:themeFill="accent1" w:themeFillShade="BF"/>
            <w:vAlign w:val="center"/>
          </w:tcPr>
          <w:p w14:paraId="0775B3FF" w14:textId="28D09E23" w:rsidR="00076C4C" w:rsidRPr="00EF4E88" w:rsidRDefault="00076C4C" w:rsidP="008314CA">
            <w:pPr>
              <w:jc w:val="center"/>
              <w:rPr>
                <w:b/>
                <w:color w:val="FFFFFF" w:themeColor="background1"/>
                <w:sz w:val="36"/>
                <w:szCs w:val="36"/>
              </w:rPr>
            </w:pPr>
            <w:r w:rsidRPr="00EF4E88">
              <w:rPr>
                <w:b/>
                <w:color w:val="FFFFFF" w:themeColor="background1"/>
                <w:sz w:val="36"/>
                <w:szCs w:val="36"/>
              </w:rPr>
              <w:lastRenderedPageBreak/>
              <w:t>4</w:t>
            </w:r>
          </w:p>
        </w:tc>
        <w:tc>
          <w:tcPr>
            <w:tcW w:w="10265" w:type="dxa"/>
            <w:gridSpan w:val="8"/>
            <w:shd w:val="clear" w:color="auto" w:fill="2F5496" w:themeFill="accent1" w:themeFillShade="BF"/>
            <w:vAlign w:val="center"/>
          </w:tcPr>
          <w:p w14:paraId="4986E054" w14:textId="42D941F1" w:rsidR="00076C4C" w:rsidRPr="00221CEA" w:rsidRDefault="009B191A" w:rsidP="00076C4C">
            <w:pPr>
              <w:rPr>
                <w:b/>
                <w:color w:val="FFFFFF" w:themeColor="background1"/>
                <w:sz w:val="30"/>
                <w:szCs w:val="30"/>
              </w:rPr>
            </w:pPr>
            <w:r>
              <w:rPr>
                <w:b/>
                <w:color w:val="FFFFFF" w:themeColor="background1"/>
                <w:sz w:val="30"/>
                <w:szCs w:val="30"/>
              </w:rPr>
              <w:t xml:space="preserve">Provide </w:t>
            </w:r>
            <w:r w:rsidR="00076C4C" w:rsidRPr="00221CEA">
              <w:rPr>
                <w:b/>
                <w:color w:val="FFFFFF" w:themeColor="background1"/>
                <w:sz w:val="30"/>
                <w:szCs w:val="30"/>
              </w:rPr>
              <w:t>Independent 3</w:t>
            </w:r>
            <w:r w:rsidR="00076C4C" w:rsidRPr="00221CEA">
              <w:rPr>
                <w:b/>
                <w:color w:val="FFFFFF" w:themeColor="background1"/>
                <w:sz w:val="30"/>
                <w:szCs w:val="30"/>
                <w:vertAlign w:val="superscript"/>
              </w:rPr>
              <w:t>rd</w:t>
            </w:r>
            <w:r w:rsidR="00076C4C" w:rsidRPr="00221CEA">
              <w:rPr>
                <w:b/>
                <w:color w:val="FFFFFF" w:themeColor="background1"/>
                <w:sz w:val="30"/>
                <w:szCs w:val="30"/>
              </w:rPr>
              <w:t xml:space="preserve"> Party CX Recognition | </w:t>
            </w:r>
            <w:r w:rsidR="00221CEA" w:rsidRPr="00221CEA">
              <w:rPr>
                <w:b/>
                <w:color w:val="FFFFFF" w:themeColor="background1"/>
                <w:sz w:val="30"/>
                <w:szCs w:val="30"/>
              </w:rPr>
              <w:t xml:space="preserve">CXDNA </w:t>
            </w:r>
            <w:r>
              <w:rPr>
                <w:b/>
                <w:color w:val="FFFFFF" w:themeColor="background1"/>
                <w:sz w:val="30"/>
                <w:szCs w:val="30"/>
              </w:rPr>
              <w:t>Advocate Certification</w:t>
            </w:r>
          </w:p>
        </w:tc>
      </w:tr>
      <w:tr w:rsidR="00221CEA" w14:paraId="185EC51B" w14:textId="77777777" w:rsidTr="002478B8">
        <w:trPr>
          <w:trHeight w:val="828"/>
          <w:jc w:val="center"/>
        </w:trPr>
        <w:tc>
          <w:tcPr>
            <w:tcW w:w="11520" w:type="dxa"/>
            <w:gridSpan w:val="10"/>
            <w:shd w:val="clear" w:color="auto" w:fill="auto"/>
          </w:tcPr>
          <w:p w14:paraId="2D49E785" w14:textId="77777777" w:rsidR="00FE4DC5" w:rsidRPr="00FE4DC5" w:rsidRDefault="00FE4DC5" w:rsidP="00221CEA">
            <w:pPr>
              <w:jc w:val="both"/>
              <w:rPr>
                <w:sz w:val="10"/>
                <w:szCs w:val="10"/>
              </w:rPr>
            </w:pPr>
          </w:p>
          <w:p w14:paraId="34360B5D" w14:textId="06D17A35" w:rsidR="00221CEA" w:rsidRPr="00221CEA" w:rsidRDefault="00221CEA" w:rsidP="00221CEA">
            <w:pPr>
              <w:jc w:val="both"/>
              <w:rPr>
                <w:rFonts w:cstheme="minorHAnsi"/>
              </w:rPr>
            </w:pPr>
            <w:r>
              <w:t>Be a value-added provider of</w:t>
            </w:r>
            <w:r w:rsidRPr="00EF4E88">
              <w:rPr>
                <w:rFonts w:cstheme="minorHAnsi"/>
              </w:rPr>
              <w:t xml:space="preserve"> CX recognition through industry independent 3rd party certifications/award. </w:t>
            </w:r>
            <w:r>
              <w:rPr>
                <w:rFonts w:cstheme="minorHAnsi"/>
              </w:rPr>
              <w:t>Offer your clients opportunity to become</w:t>
            </w:r>
            <w:r w:rsidRPr="00EF4E88">
              <w:rPr>
                <w:rFonts w:cstheme="minorHAnsi"/>
              </w:rPr>
              <w:t xml:space="preserve"> a recipient of NorthFace ScoreBoard (NFSB) Award for customer service excellence</w:t>
            </w:r>
            <w:r>
              <w:rPr>
                <w:rFonts w:cstheme="minorHAnsi"/>
              </w:rPr>
              <w:t xml:space="preserve"> and </w:t>
            </w:r>
            <w:r w:rsidR="009B191A">
              <w:rPr>
                <w:rFonts w:cstheme="minorHAnsi"/>
              </w:rPr>
              <w:t xml:space="preserve">provide CX Advocate certification that </w:t>
            </w:r>
            <w:r>
              <w:rPr>
                <w:rFonts w:cstheme="minorHAnsi"/>
              </w:rPr>
              <w:t>include</w:t>
            </w:r>
            <w:r w:rsidR="00FE4DC5">
              <w:rPr>
                <w:rFonts w:cstheme="minorHAnsi"/>
              </w:rPr>
              <w:t>s aligning</w:t>
            </w:r>
            <w:r>
              <w:rPr>
                <w:rFonts w:cstheme="minorHAnsi"/>
              </w:rPr>
              <w:t xml:space="preserve"> your CX products/services</w:t>
            </w:r>
            <w:r w:rsidR="008124BE">
              <w:rPr>
                <w:rFonts w:cstheme="minorHAnsi"/>
              </w:rPr>
              <w:t xml:space="preserve"> </w:t>
            </w:r>
            <w:r w:rsidR="00FE4DC5">
              <w:rPr>
                <w:rFonts w:cstheme="minorHAnsi"/>
              </w:rPr>
              <w:t>with</w:t>
            </w:r>
            <w:r w:rsidR="008124BE">
              <w:rPr>
                <w:rFonts w:cstheme="minorHAnsi"/>
              </w:rPr>
              <w:t xml:space="preserve"> the </w:t>
            </w:r>
            <w:r w:rsidR="009B191A">
              <w:rPr>
                <w:rFonts w:cstheme="minorHAnsi"/>
              </w:rPr>
              <w:t xml:space="preserve">12 </w:t>
            </w:r>
            <w:r w:rsidR="008124BE">
              <w:rPr>
                <w:rFonts w:cstheme="minorHAnsi"/>
              </w:rPr>
              <w:t>critical component practices within</w:t>
            </w:r>
            <w:r>
              <w:rPr>
                <w:rFonts w:cstheme="minorHAnsi"/>
              </w:rPr>
              <w:t xml:space="preserve"> the CXDNA Playbook Strategy.</w:t>
            </w:r>
          </w:p>
        </w:tc>
      </w:tr>
      <w:tr w:rsidR="00FE4DC5" w14:paraId="07AC4126" w14:textId="77777777" w:rsidTr="00FE4DC5">
        <w:trPr>
          <w:trHeight w:val="2250"/>
          <w:jc w:val="center"/>
        </w:trPr>
        <w:tc>
          <w:tcPr>
            <w:tcW w:w="2880" w:type="dxa"/>
            <w:gridSpan w:val="4"/>
            <w:shd w:val="clear" w:color="auto" w:fill="auto"/>
            <w:vAlign w:val="center"/>
          </w:tcPr>
          <w:p w14:paraId="59E02E78" w14:textId="4785699E" w:rsidR="00FE4DC5" w:rsidRPr="00FE4DC5" w:rsidRDefault="00FE4DC5" w:rsidP="00FE4DC5">
            <w:pPr>
              <w:jc w:val="right"/>
              <w:rPr>
                <w:rFonts w:cstheme="minorHAnsi"/>
                <w:sz w:val="50"/>
                <w:szCs w:val="50"/>
              </w:rPr>
            </w:pPr>
            <w:r w:rsidRPr="00FE4DC5">
              <w:rPr>
                <w:rFonts w:cstheme="minorHAnsi"/>
                <w:sz w:val="50"/>
                <w:szCs w:val="50"/>
              </w:rPr>
              <w:t xml:space="preserve">Cobrand: </w:t>
            </w:r>
          </w:p>
        </w:tc>
        <w:tc>
          <w:tcPr>
            <w:tcW w:w="2880" w:type="dxa"/>
            <w:gridSpan w:val="3"/>
            <w:shd w:val="clear" w:color="auto" w:fill="auto"/>
          </w:tcPr>
          <w:p w14:paraId="5BCF5DE2" w14:textId="6431A62B" w:rsidR="00FE4DC5" w:rsidRDefault="00FE4DC5" w:rsidP="00FE4DC5">
            <w:pPr>
              <w:rPr>
                <w:rFonts w:cstheme="minorHAnsi"/>
              </w:rPr>
            </w:pPr>
            <w:r>
              <w:rPr>
                <w:rFonts w:cstheme="minorHAnsi"/>
                <w:noProof/>
              </w:rPr>
              <w:drawing>
                <wp:inline distT="0" distB="0" distL="0" distR="0" wp14:anchorId="5FC09C4E" wp14:editId="7B39509F">
                  <wp:extent cx="1352550" cy="1466490"/>
                  <wp:effectExtent l="0" t="0" r="0" b="635"/>
                  <wp:docPr id="5" name="Picture 5"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timeline&#10;&#10;Description automatically generated"/>
                          <pic:cNvPicPr/>
                        </pic:nvPicPr>
                        <pic:blipFill rotWithShape="1">
                          <a:blip r:embed="rId18" cstate="print">
                            <a:extLst>
                              <a:ext uri="{28A0092B-C50C-407E-A947-70E740481C1C}">
                                <a14:useLocalDpi xmlns:a14="http://schemas.microsoft.com/office/drawing/2010/main" val="0"/>
                              </a:ext>
                            </a:extLst>
                          </a:blip>
                          <a:srcRect l="1222" r="1423"/>
                          <a:stretch/>
                        </pic:blipFill>
                        <pic:spPr bwMode="auto">
                          <a:xfrm>
                            <a:off x="0" y="0"/>
                            <a:ext cx="1361315" cy="1475994"/>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dxa"/>
            <w:shd w:val="clear" w:color="auto" w:fill="auto"/>
            <w:vAlign w:val="center"/>
          </w:tcPr>
          <w:p w14:paraId="700CB088" w14:textId="453439D4" w:rsidR="00FE4DC5" w:rsidRPr="00FE4DC5" w:rsidRDefault="00FE4DC5" w:rsidP="00FE4DC5">
            <w:pPr>
              <w:jc w:val="right"/>
              <w:rPr>
                <w:sz w:val="50"/>
                <w:szCs w:val="50"/>
              </w:rPr>
            </w:pPr>
            <w:r w:rsidRPr="00FE4DC5">
              <w:rPr>
                <w:sz w:val="50"/>
                <w:szCs w:val="50"/>
              </w:rPr>
              <w:t>Align:</w:t>
            </w:r>
          </w:p>
        </w:tc>
        <w:tc>
          <w:tcPr>
            <w:tcW w:w="3690" w:type="dxa"/>
            <w:gridSpan w:val="2"/>
            <w:shd w:val="clear" w:color="auto" w:fill="auto"/>
          </w:tcPr>
          <w:p w14:paraId="0F99505A" w14:textId="39DD7391" w:rsidR="00FE4DC5" w:rsidRPr="00162241" w:rsidRDefault="00FE4DC5" w:rsidP="00FE4DC5">
            <w:r>
              <w:rPr>
                <w:noProof/>
              </w:rPr>
              <w:drawing>
                <wp:inline distT="0" distB="0" distL="0" distR="0" wp14:anchorId="7FA74F26" wp14:editId="50945DF7">
                  <wp:extent cx="1552575" cy="1552575"/>
                  <wp:effectExtent l="0" t="0" r="9525" b="9525"/>
                  <wp:docPr id="15" name="Picture 1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evic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tc>
      </w:tr>
      <w:tr w:rsidR="00221CEA" w14:paraId="3D42108F" w14:textId="77777777" w:rsidTr="00ED54FD">
        <w:trPr>
          <w:trHeight w:val="2142"/>
          <w:jc w:val="center"/>
        </w:trPr>
        <w:tc>
          <w:tcPr>
            <w:tcW w:w="11520" w:type="dxa"/>
            <w:gridSpan w:val="10"/>
            <w:shd w:val="clear" w:color="auto" w:fill="auto"/>
          </w:tcPr>
          <w:p w14:paraId="444A12D8" w14:textId="77777777" w:rsidR="00221CEA" w:rsidRPr="00ED54FD" w:rsidRDefault="00221CEA" w:rsidP="00221CEA">
            <w:pPr>
              <w:jc w:val="both"/>
              <w:rPr>
                <w:rFonts w:cstheme="minorHAnsi"/>
                <w:sz w:val="10"/>
                <w:szCs w:val="10"/>
              </w:rPr>
            </w:pPr>
          </w:p>
          <w:p w14:paraId="68C1B664" w14:textId="77777777" w:rsidR="00221CEA" w:rsidRPr="00076C4C" w:rsidRDefault="00221CEA" w:rsidP="00221CEA">
            <w:pPr>
              <w:jc w:val="both"/>
              <w:rPr>
                <w:rFonts w:cstheme="minorHAnsi"/>
                <w:b/>
              </w:rPr>
            </w:pPr>
            <w:r w:rsidRPr="00076C4C">
              <w:rPr>
                <w:rFonts w:cstheme="minorHAnsi"/>
                <w:b/>
              </w:rPr>
              <w:t>Have your clients join world class service providers such as:</w:t>
            </w:r>
          </w:p>
          <w:p w14:paraId="5208F8EA" w14:textId="5253C954" w:rsidR="00221CEA" w:rsidRDefault="00221CEA" w:rsidP="00ED54FD">
            <w:pPr>
              <w:rPr>
                <w:rFonts w:cstheme="minorHAnsi"/>
              </w:rPr>
            </w:pPr>
            <w:r>
              <w:rPr>
                <w:rFonts w:cstheme="minorHAnsi"/>
                <w:noProof/>
              </w:rPr>
              <w:drawing>
                <wp:inline distT="0" distB="0" distL="0" distR="0" wp14:anchorId="0AD803BA" wp14:editId="24007CE6">
                  <wp:extent cx="813435" cy="232410"/>
                  <wp:effectExtent l="0" t="0" r="571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aya_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3696" cy="249627"/>
                          </a:xfrm>
                          <a:prstGeom prst="rect">
                            <a:avLst/>
                          </a:prstGeom>
                        </pic:spPr>
                      </pic:pic>
                    </a:graphicData>
                  </a:graphic>
                </wp:inline>
              </w:drawing>
            </w:r>
            <w:r>
              <w:rPr>
                <w:rFonts w:cstheme="minorHAnsi"/>
              </w:rPr>
              <w:t xml:space="preserve"> </w:t>
            </w:r>
            <w:r>
              <w:rPr>
                <w:rFonts w:cstheme="minorHAnsi"/>
                <w:noProof/>
              </w:rPr>
              <w:drawing>
                <wp:inline distT="0" distB="0" distL="0" distR="0" wp14:anchorId="39B45CEE" wp14:editId="7364B5BE">
                  <wp:extent cx="762000" cy="250785"/>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alog devices_logo.gif"/>
                          <pic:cNvPicPr/>
                        </pic:nvPicPr>
                        <pic:blipFill rotWithShape="1">
                          <a:blip r:embed="rId21">
                            <a:extLst>
                              <a:ext uri="{28A0092B-C50C-407E-A947-70E740481C1C}">
                                <a14:useLocalDpi xmlns:a14="http://schemas.microsoft.com/office/drawing/2010/main" val="0"/>
                              </a:ext>
                            </a:extLst>
                          </a:blip>
                          <a:srcRect r="8671" b="27778"/>
                          <a:stretch/>
                        </pic:blipFill>
                        <pic:spPr bwMode="auto">
                          <a:xfrm>
                            <a:off x="0" y="0"/>
                            <a:ext cx="802435" cy="264093"/>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rPr>
              <w:t xml:space="preserve"> </w:t>
            </w:r>
            <w:r>
              <w:rPr>
                <w:rFonts w:cstheme="minorHAnsi"/>
                <w:noProof/>
              </w:rPr>
              <w:drawing>
                <wp:inline distT="0" distB="0" distL="0" distR="0" wp14:anchorId="467472B3" wp14:editId="6570967B">
                  <wp:extent cx="716592" cy="274320"/>
                  <wp:effectExtent l="0" t="0" r="7620" b="0"/>
                  <wp:docPr id="8" name="Picture 8"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ston Scientific.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6049" cy="289425"/>
                          </a:xfrm>
                          <a:prstGeom prst="rect">
                            <a:avLst/>
                          </a:prstGeom>
                        </pic:spPr>
                      </pic:pic>
                    </a:graphicData>
                  </a:graphic>
                </wp:inline>
              </w:drawing>
            </w:r>
            <w:r>
              <w:rPr>
                <w:rFonts w:cstheme="minorHAnsi"/>
                <w:noProof/>
              </w:rPr>
              <w:t xml:space="preserve"> </w:t>
            </w:r>
            <w:r>
              <w:rPr>
                <w:rFonts w:cstheme="minorHAnsi"/>
                <w:noProof/>
              </w:rPr>
              <w:drawing>
                <wp:inline distT="0" distB="0" distL="0" distR="0" wp14:anchorId="362F77DF" wp14:editId="56166746">
                  <wp:extent cx="657225" cy="26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rix.jpg"/>
                          <pic:cNvPicPr/>
                        </pic:nvPicPr>
                        <pic:blipFill rotWithShape="1">
                          <a:blip r:embed="rId23" cstate="print">
                            <a:extLst>
                              <a:ext uri="{28A0092B-C50C-407E-A947-70E740481C1C}">
                                <a14:useLocalDpi xmlns:a14="http://schemas.microsoft.com/office/drawing/2010/main" val="0"/>
                              </a:ext>
                            </a:extLst>
                          </a:blip>
                          <a:srcRect l="3815" t="17784" b="18861"/>
                          <a:stretch/>
                        </pic:blipFill>
                        <pic:spPr bwMode="auto">
                          <a:xfrm>
                            <a:off x="0" y="0"/>
                            <a:ext cx="724325" cy="29448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t xml:space="preserve"> </w:t>
            </w:r>
            <w:r>
              <w:rPr>
                <w:rFonts w:cstheme="minorHAnsi"/>
                <w:noProof/>
              </w:rPr>
              <w:drawing>
                <wp:inline distT="0" distB="0" distL="0" distR="0" wp14:anchorId="3484CA49" wp14:editId="655134E6">
                  <wp:extent cx="904875" cy="260743"/>
                  <wp:effectExtent l="0" t="0" r="0" b="635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ning Optical Communications LLC.JPG"/>
                          <pic:cNvPicPr/>
                        </pic:nvPicPr>
                        <pic:blipFill rotWithShape="1">
                          <a:blip r:embed="rId24" cstate="print">
                            <a:extLst>
                              <a:ext uri="{28A0092B-C50C-407E-A947-70E740481C1C}">
                                <a14:useLocalDpi xmlns:a14="http://schemas.microsoft.com/office/drawing/2010/main" val="0"/>
                              </a:ext>
                            </a:extLst>
                          </a:blip>
                          <a:srcRect l="7056" t="5425" r="7431"/>
                          <a:stretch/>
                        </pic:blipFill>
                        <pic:spPr bwMode="auto">
                          <a:xfrm>
                            <a:off x="0" y="0"/>
                            <a:ext cx="1005212" cy="289656"/>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t xml:space="preserve"> </w:t>
            </w:r>
            <w:r>
              <w:rPr>
                <w:rFonts w:cstheme="minorHAnsi"/>
                <w:noProof/>
              </w:rPr>
              <w:drawing>
                <wp:inline distT="0" distB="0" distL="0" distR="0" wp14:anchorId="77674859" wp14:editId="57522177">
                  <wp:extent cx="394374" cy="332105"/>
                  <wp:effectExtent l="0" t="0" r="5715" b="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 Technologies_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0532" cy="345711"/>
                          </a:xfrm>
                          <a:prstGeom prst="rect">
                            <a:avLst/>
                          </a:prstGeom>
                        </pic:spPr>
                      </pic:pic>
                    </a:graphicData>
                  </a:graphic>
                </wp:inline>
              </w:drawing>
            </w:r>
            <w:r>
              <w:rPr>
                <w:rFonts w:cstheme="minorHAnsi"/>
              </w:rPr>
              <w:t xml:space="preserve"> </w:t>
            </w:r>
            <w:r>
              <w:rPr>
                <w:rFonts w:cstheme="minorHAnsi"/>
                <w:noProof/>
              </w:rPr>
              <w:drawing>
                <wp:inline distT="0" distB="0" distL="0" distR="0" wp14:anchorId="133AB097" wp14:editId="7336B474">
                  <wp:extent cx="806080" cy="2520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tek.png"/>
                          <pic:cNvPicPr/>
                        </pic:nvPicPr>
                        <pic:blipFill rotWithShape="1">
                          <a:blip r:embed="rId26" cstate="print">
                            <a:extLst>
                              <a:ext uri="{28A0092B-C50C-407E-A947-70E740481C1C}">
                                <a14:useLocalDpi xmlns:a14="http://schemas.microsoft.com/office/drawing/2010/main" val="0"/>
                              </a:ext>
                            </a:extLst>
                          </a:blip>
                          <a:srcRect l="10092" t="22727" r="10703" b="24676"/>
                          <a:stretch/>
                        </pic:blipFill>
                        <pic:spPr bwMode="auto">
                          <a:xfrm>
                            <a:off x="0" y="0"/>
                            <a:ext cx="883128" cy="276191"/>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rPr>
              <w:t xml:space="preserve"> </w:t>
            </w:r>
            <w:r>
              <w:rPr>
                <w:rFonts w:cstheme="minorHAnsi"/>
                <w:noProof/>
              </w:rPr>
              <w:drawing>
                <wp:inline distT="0" distB="0" distL="0" distR="0" wp14:anchorId="746DCB66" wp14:editId="3320FF0B">
                  <wp:extent cx="723424" cy="27559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MC Logo_2011.PNG"/>
                          <pic:cNvPicPr/>
                        </pic:nvPicPr>
                        <pic:blipFill>
                          <a:blip r:embed="rId27">
                            <a:extLst>
                              <a:ext uri="{28A0092B-C50C-407E-A947-70E740481C1C}">
                                <a14:useLocalDpi xmlns:a14="http://schemas.microsoft.com/office/drawing/2010/main" val="0"/>
                              </a:ext>
                            </a:extLst>
                          </a:blip>
                          <a:stretch>
                            <a:fillRect/>
                          </a:stretch>
                        </pic:blipFill>
                        <pic:spPr>
                          <a:xfrm>
                            <a:off x="0" y="0"/>
                            <a:ext cx="763632" cy="290907"/>
                          </a:xfrm>
                          <a:prstGeom prst="rect">
                            <a:avLst/>
                          </a:prstGeom>
                        </pic:spPr>
                      </pic:pic>
                    </a:graphicData>
                  </a:graphic>
                </wp:inline>
              </w:drawing>
            </w:r>
            <w:r>
              <w:rPr>
                <w:rFonts w:cstheme="minorHAnsi"/>
              </w:rPr>
              <w:t xml:space="preserve"> </w:t>
            </w:r>
            <w:r>
              <w:rPr>
                <w:rFonts w:cstheme="minorHAnsi"/>
                <w:noProof/>
              </w:rPr>
              <w:drawing>
                <wp:inline distT="0" distB="0" distL="0" distR="0" wp14:anchorId="13E50D8F" wp14:editId="5545E224">
                  <wp:extent cx="507879" cy="381635"/>
                  <wp:effectExtent l="0" t="0" r="6985" b="0"/>
                  <wp:docPr id="18" name="Picture 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P_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6448" cy="403103"/>
                          </a:xfrm>
                          <a:prstGeom prst="rect">
                            <a:avLst/>
                          </a:prstGeom>
                        </pic:spPr>
                      </pic:pic>
                    </a:graphicData>
                  </a:graphic>
                </wp:inline>
              </w:drawing>
            </w:r>
            <w:r>
              <w:rPr>
                <w:rFonts w:cstheme="minorHAnsi"/>
                <w:noProof/>
              </w:rPr>
              <w:drawing>
                <wp:inline distT="0" distB="0" distL="0" distR="0" wp14:anchorId="75016BF2" wp14:editId="038F38BD">
                  <wp:extent cx="813435" cy="259056"/>
                  <wp:effectExtent l="0" t="0" r="571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logic Logo.jpg"/>
                          <pic:cNvPicPr/>
                        </pic:nvPicPr>
                        <pic:blipFill rotWithShape="1">
                          <a:blip r:embed="rId29">
                            <a:extLst>
                              <a:ext uri="{28A0092B-C50C-407E-A947-70E740481C1C}">
                                <a14:useLocalDpi xmlns:a14="http://schemas.microsoft.com/office/drawing/2010/main" val="0"/>
                              </a:ext>
                            </a:extLst>
                          </a:blip>
                          <a:srcRect r="10285"/>
                          <a:stretch/>
                        </pic:blipFill>
                        <pic:spPr bwMode="auto">
                          <a:xfrm>
                            <a:off x="0" y="0"/>
                            <a:ext cx="848752" cy="270304"/>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rPr>
              <w:t xml:space="preserve">  </w:t>
            </w:r>
            <w:r>
              <w:rPr>
                <w:rFonts w:cstheme="minorHAnsi"/>
                <w:noProof/>
              </w:rPr>
              <w:drawing>
                <wp:inline distT="0" distB="0" distL="0" distR="0" wp14:anchorId="0ABAEC9E" wp14:editId="59C76E85">
                  <wp:extent cx="560058" cy="2413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BM_logo.jpg"/>
                          <pic:cNvPicPr/>
                        </pic:nvPicPr>
                        <pic:blipFill rotWithShape="1">
                          <a:blip r:embed="rId30" cstate="print">
                            <a:extLst>
                              <a:ext uri="{28A0092B-C50C-407E-A947-70E740481C1C}">
                                <a14:useLocalDpi xmlns:a14="http://schemas.microsoft.com/office/drawing/2010/main" val="0"/>
                              </a:ext>
                            </a:extLst>
                          </a:blip>
                          <a:srcRect r="2523" b="11940"/>
                          <a:stretch/>
                        </pic:blipFill>
                        <pic:spPr bwMode="auto">
                          <a:xfrm>
                            <a:off x="0" y="0"/>
                            <a:ext cx="668869" cy="288181"/>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t xml:space="preserve"> </w:t>
            </w:r>
            <w:r>
              <w:rPr>
                <w:rFonts w:cstheme="minorHAnsi"/>
                <w:noProof/>
              </w:rPr>
              <w:drawing>
                <wp:inline distT="0" distB="0" distL="0" distR="0" wp14:anchorId="5FAA2347" wp14:editId="7071A1A9">
                  <wp:extent cx="1476375" cy="196454"/>
                  <wp:effectExtent l="0" t="0" r="0" b="0"/>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racle_Logo.GIF"/>
                          <pic:cNvPicPr/>
                        </pic:nvPicPr>
                        <pic:blipFill>
                          <a:blip r:embed="rId31">
                            <a:extLst>
                              <a:ext uri="{28A0092B-C50C-407E-A947-70E740481C1C}">
                                <a14:useLocalDpi xmlns:a14="http://schemas.microsoft.com/office/drawing/2010/main" val="0"/>
                              </a:ext>
                            </a:extLst>
                          </a:blip>
                          <a:stretch>
                            <a:fillRect/>
                          </a:stretch>
                        </pic:blipFill>
                        <pic:spPr>
                          <a:xfrm>
                            <a:off x="0" y="0"/>
                            <a:ext cx="1476375" cy="196454"/>
                          </a:xfrm>
                          <a:prstGeom prst="rect">
                            <a:avLst/>
                          </a:prstGeom>
                        </pic:spPr>
                      </pic:pic>
                    </a:graphicData>
                  </a:graphic>
                </wp:inline>
              </w:drawing>
            </w:r>
            <w:r>
              <w:rPr>
                <w:rFonts w:cstheme="minorHAnsi"/>
                <w:noProof/>
              </w:rPr>
              <w:t xml:space="preserve"> </w:t>
            </w:r>
            <w:r>
              <w:rPr>
                <w:rFonts w:cstheme="minorHAnsi"/>
                <w:noProof/>
              </w:rPr>
              <w:drawing>
                <wp:inline distT="0" distB="0" distL="0" distR="0" wp14:anchorId="45E14E6D" wp14:editId="6F8A9026">
                  <wp:extent cx="1295400" cy="318117"/>
                  <wp:effectExtent l="0" t="0" r="0" b="6350"/>
                  <wp:docPr id="21" name="Picture 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tney Bowes_New Logo_201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59032" cy="333743"/>
                          </a:xfrm>
                          <a:prstGeom prst="rect">
                            <a:avLst/>
                          </a:prstGeom>
                        </pic:spPr>
                      </pic:pic>
                    </a:graphicData>
                  </a:graphic>
                </wp:inline>
              </w:drawing>
            </w:r>
            <w:r>
              <w:rPr>
                <w:rFonts w:cstheme="minorHAnsi"/>
              </w:rPr>
              <w:t xml:space="preserve"> </w:t>
            </w:r>
            <w:r>
              <w:rPr>
                <w:rFonts w:cstheme="minorHAnsi"/>
                <w:noProof/>
              </w:rPr>
              <w:drawing>
                <wp:inline distT="0" distB="0" distL="0" distR="0" wp14:anchorId="31C8F8DE" wp14:editId="06002841">
                  <wp:extent cx="1076325" cy="218602"/>
                  <wp:effectExtent l="0" t="0" r="0" b="0"/>
                  <wp:docPr id="22" name="Picture 2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ONY_Logo.jpg"/>
                          <pic:cNvPicPr/>
                        </pic:nvPicPr>
                        <pic:blipFill rotWithShape="1">
                          <a:blip r:embed="rId33" cstate="print">
                            <a:extLst>
                              <a:ext uri="{28A0092B-C50C-407E-A947-70E740481C1C}">
                                <a14:useLocalDpi xmlns:a14="http://schemas.microsoft.com/office/drawing/2010/main" val="0"/>
                              </a:ext>
                            </a:extLst>
                          </a:blip>
                          <a:srcRect l="2580" t="12515" r="5102" b="9416"/>
                          <a:stretch/>
                        </pic:blipFill>
                        <pic:spPr bwMode="auto">
                          <a:xfrm>
                            <a:off x="0" y="0"/>
                            <a:ext cx="1259893" cy="255885"/>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rPr>
              <w:t xml:space="preserve"> </w:t>
            </w:r>
            <w:r>
              <w:rPr>
                <w:rFonts w:cstheme="minorHAnsi"/>
                <w:noProof/>
              </w:rPr>
              <w:drawing>
                <wp:inline distT="0" distB="0" distL="0" distR="0" wp14:anchorId="4F1503A7" wp14:editId="743A06CA">
                  <wp:extent cx="762000" cy="230606"/>
                  <wp:effectExtent l="0" t="0" r="0" b="0"/>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OLL_Logo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86853" cy="268391"/>
                          </a:xfrm>
                          <a:prstGeom prst="rect">
                            <a:avLst/>
                          </a:prstGeom>
                        </pic:spPr>
                      </pic:pic>
                    </a:graphicData>
                  </a:graphic>
                </wp:inline>
              </w:drawing>
            </w:r>
            <w:r>
              <w:rPr>
                <w:rFonts w:eastAsiaTheme="minorEastAsia"/>
                <w:noProof/>
              </w:rPr>
              <w:drawing>
                <wp:inline distT="0" distB="0" distL="0" distR="0" wp14:anchorId="71236D83" wp14:editId="772D3DC9">
                  <wp:extent cx="504825" cy="530847"/>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5305" cy="541867"/>
                          </a:xfrm>
                          <a:prstGeom prst="rect">
                            <a:avLst/>
                          </a:prstGeom>
                          <a:noFill/>
                          <a:ln>
                            <a:noFill/>
                          </a:ln>
                        </pic:spPr>
                      </pic:pic>
                    </a:graphicData>
                  </a:graphic>
                </wp:inline>
              </w:drawing>
            </w:r>
          </w:p>
        </w:tc>
      </w:tr>
      <w:tr w:rsidR="00305D9D" w14:paraId="1A18D36F" w14:textId="77777777" w:rsidTr="00221CEA">
        <w:trPr>
          <w:jc w:val="center"/>
        </w:trPr>
        <w:tc>
          <w:tcPr>
            <w:tcW w:w="1255" w:type="dxa"/>
            <w:gridSpan w:val="2"/>
            <w:shd w:val="clear" w:color="auto" w:fill="2F5496" w:themeFill="accent1" w:themeFillShade="BF"/>
          </w:tcPr>
          <w:p w14:paraId="588FE2C3" w14:textId="44F9F500" w:rsidR="008314CA" w:rsidRPr="00EF4E88" w:rsidRDefault="002E37F8" w:rsidP="008314CA">
            <w:pPr>
              <w:jc w:val="center"/>
              <w:rPr>
                <w:b/>
                <w:color w:val="FFFFFF" w:themeColor="background1"/>
                <w:sz w:val="36"/>
                <w:szCs w:val="36"/>
              </w:rPr>
            </w:pPr>
            <w:r w:rsidRPr="00EF4E88">
              <w:rPr>
                <w:b/>
                <w:color w:val="FFFFFF" w:themeColor="background1"/>
                <w:sz w:val="36"/>
                <w:szCs w:val="36"/>
              </w:rPr>
              <w:t>5</w:t>
            </w:r>
          </w:p>
        </w:tc>
        <w:tc>
          <w:tcPr>
            <w:tcW w:w="10265" w:type="dxa"/>
            <w:gridSpan w:val="8"/>
            <w:shd w:val="clear" w:color="auto" w:fill="2F5496" w:themeFill="accent1" w:themeFillShade="BF"/>
          </w:tcPr>
          <w:p w14:paraId="22FB3479" w14:textId="424AECED" w:rsidR="008314CA" w:rsidRPr="00221CEA" w:rsidRDefault="00E277DD" w:rsidP="008314CA">
            <w:pPr>
              <w:rPr>
                <w:b/>
                <w:color w:val="FFFFFF" w:themeColor="background1"/>
                <w:sz w:val="30"/>
                <w:szCs w:val="30"/>
              </w:rPr>
            </w:pPr>
            <w:r w:rsidRPr="00221CEA">
              <w:rPr>
                <w:b/>
                <w:color w:val="FFFFFF" w:themeColor="background1"/>
                <w:sz w:val="30"/>
                <w:szCs w:val="30"/>
              </w:rPr>
              <w:t>CXDNA Playbook Strategy℠</w:t>
            </w:r>
            <w:r w:rsidR="00135550" w:rsidRPr="00221CEA">
              <w:rPr>
                <w:b/>
                <w:color w:val="FFFFFF" w:themeColor="background1"/>
                <w:sz w:val="30"/>
                <w:szCs w:val="30"/>
              </w:rPr>
              <w:t xml:space="preserve"> </w:t>
            </w:r>
            <w:r w:rsidRPr="00221CEA">
              <w:rPr>
                <w:b/>
                <w:color w:val="FFFFFF" w:themeColor="background1"/>
                <w:sz w:val="30"/>
                <w:szCs w:val="30"/>
              </w:rPr>
              <w:t xml:space="preserve">- </w:t>
            </w:r>
            <w:r w:rsidR="009B191A">
              <w:rPr>
                <w:b/>
                <w:color w:val="FFFFFF" w:themeColor="background1"/>
                <w:sz w:val="30"/>
                <w:szCs w:val="30"/>
              </w:rPr>
              <w:t xml:space="preserve">Trusted CX Advisor </w:t>
            </w:r>
            <w:r w:rsidR="00A015F2" w:rsidRPr="00221CEA">
              <w:rPr>
                <w:b/>
                <w:color w:val="FFFFFF" w:themeColor="background1"/>
                <w:sz w:val="30"/>
                <w:szCs w:val="30"/>
              </w:rPr>
              <w:t>Partner</w:t>
            </w:r>
            <w:r w:rsidR="009B191A">
              <w:rPr>
                <w:b/>
                <w:color w:val="FFFFFF" w:themeColor="background1"/>
                <w:sz w:val="30"/>
                <w:szCs w:val="30"/>
              </w:rPr>
              <w:t>s</w:t>
            </w:r>
          </w:p>
        </w:tc>
      </w:tr>
      <w:tr w:rsidR="005A3C03" w14:paraId="1267A017" w14:textId="77777777" w:rsidTr="00FE4DC5">
        <w:trPr>
          <w:trHeight w:val="3852"/>
          <w:jc w:val="center"/>
        </w:trPr>
        <w:tc>
          <w:tcPr>
            <w:tcW w:w="11520" w:type="dxa"/>
            <w:gridSpan w:val="10"/>
            <w:shd w:val="clear" w:color="auto" w:fill="FFFFFF" w:themeFill="background1"/>
            <w:vAlign w:val="center"/>
          </w:tcPr>
          <w:p w14:paraId="14928085" w14:textId="77777777" w:rsidR="00FE4DC5" w:rsidRPr="00FE4DC5" w:rsidRDefault="00FE4DC5" w:rsidP="00A35881">
            <w:pPr>
              <w:jc w:val="both"/>
              <w:rPr>
                <w:sz w:val="10"/>
                <w:szCs w:val="10"/>
              </w:rPr>
            </w:pPr>
          </w:p>
          <w:p w14:paraId="324CBB02" w14:textId="47FEC9DA" w:rsidR="008124BE" w:rsidRPr="00ED54FD" w:rsidRDefault="008124BE" w:rsidP="00A35881">
            <w:pPr>
              <w:jc w:val="both"/>
              <w:rPr>
                <w:sz w:val="21"/>
                <w:szCs w:val="21"/>
              </w:rPr>
            </w:pPr>
            <w:r w:rsidRPr="00ED54FD">
              <w:rPr>
                <w:sz w:val="21"/>
                <w:szCs w:val="21"/>
              </w:rPr>
              <w:t>The CXDNA Playbook</w:t>
            </w:r>
            <w:r w:rsidR="009B191A" w:rsidRPr="00ED54FD">
              <w:rPr>
                <w:sz w:val="21"/>
                <w:szCs w:val="21"/>
              </w:rPr>
              <w:t xml:space="preserve"> practices </w:t>
            </w:r>
            <w:r w:rsidR="00FE4DC5">
              <w:rPr>
                <w:sz w:val="21"/>
                <w:szCs w:val="21"/>
              </w:rPr>
              <w:t xml:space="preserve">(12) </w:t>
            </w:r>
            <w:r w:rsidR="00541A6D" w:rsidRPr="00ED54FD">
              <w:rPr>
                <w:sz w:val="21"/>
                <w:szCs w:val="21"/>
              </w:rPr>
              <w:t>along with your product</w:t>
            </w:r>
            <w:r w:rsidR="009B191A" w:rsidRPr="00ED54FD">
              <w:rPr>
                <w:sz w:val="21"/>
                <w:szCs w:val="21"/>
              </w:rPr>
              <w:t>s</w:t>
            </w:r>
            <w:r w:rsidR="00541A6D" w:rsidRPr="00ED54FD">
              <w:rPr>
                <w:sz w:val="21"/>
                <w:szCs w:val="21"/>
              </w:rPr>
              <w:t xml:space="preserve">/services will result in the “trusted advisor partnership” that all </w:t>
            </w:r>
            <w:r w:rsidR="009B191A" w:rsidRPr="00ED54FD">
              <w:rPr>
                <w:sz w:val="21"/>
                <w:szCs w:val="21"/>
              </w:rPr>
              <w:t>CX decision makers</w:t>
            </w:r>
            <w:r w:rsidR="00541A6D" w:rsidRPr="00ED54FD">
              <w:rPr>
                <w:sz w:val="21"/>
                <w:szCs w:val="21"/>
              </w:rPr>
              <w:t xml:space="preserve"> value</w:t>
            </w:r>
            <w:r w:rsidR="009B191A" w:rsidRPr="00ED54FD">
              <w:rPr>
                <w:sz w:val="21"/>
                <w:szCs w:val="21"/>
              </w:rPr>
              <w:t xml:space="preserve"> </w:t>
            </w:r>
            <w:r w:rsidR="009B191A" w:rsidRPr="00ED54FD">
              <w:rPr>
                <w:sz w:val="21"/>
                <w:szCs w:val="21"/>
              </w:rPr>
              <w:t>when choosing a CX vendor</w:t>
            </w:r>
            <w:r w:rsidR="009B191A" w:rsidRPr="00ED54FD">
              <w:rPr>
                <w:sz w:val="21"/>
                <w:szCs w:val="21"/>
              </w:rPr>
              <w:t>.</w:t>
            </w:r>
          </w:p>
          <w:p w14:paraId="1ECCFD4A" w14:textId="77777777" w:rsidR="00541A6D" w:rsidRPr="00ED54FD" w:rsidRDefault="00541A6D" w:rsidP="00A35881">
            <w:pPr>
              <w:jc w:val="both"/>
              <w:rPr>
                <w:sz w:val="10"/>
                <w:szCs w:val="10"/>
              </w:rPr>
            </w:pPr>
          </w:p>
          <w:p w14:paraId="4C2FE19E" w14:textId="4EC4AD29" w:rsidR="009B191A" w:rsidRPr="00ED54FD" w:rsidRDefault="00BF4012" w:rsidP="00A35881">
            <w:pPr>
              <w:jc w:val="both"/>
              <w:rPr>
                <w:sz w:val="21"/>
                <w:szCs w:val="21"/>
              </w:rPr>
            </w:pPr>
            <w:r w:rsidRPr="00ED54FD">
              <w:rPr>
                <w:sz w:val="21"/>
                <w:szCs w:val="21"/>
              </w:rPr>
              <w:t>Our</w:t>
            </w:r>
            <w:r w:rsidR="00E277DD" w:rsidRPr="00ED54FD">
              <w:rPr>
                <w:sz w:val="21"/>
                <w:szCs w:val="21"/>
              </w:rPr>
              <w:t xml:space="preserve"> revolutionary </w:t>
            </w:r>
            <w:hyperlink r:id="rId36" w:history="1">
              <w:r w:rsidR="00E277DD" w:rsidRPr="00ED54FD">
                <w:rPr>
                  <w:rStyle w:val="Hyperlink"/>
                  <w:sz w:val="21"/>
                  <w:szCs w:val="21"/>
                </w:rPr>
                <w:t>CXDNA Playbook Strategy</w:t>
              </w:r>
            </w:hyperlink>
            <w:r w:rsidR="00E277DD" w:rsidRPr="00ED54FD">
              <w:rPr>
                <w:sz w:val="21"/>
                <w:szCs w:val="21"/>
              </w:rPr>
              <w:t xml:space="preserve"> (launched in 1994) </w:t>
            </w:r>
            <w:r w:rsidR="00541A6D" w:rsidRPr="00ED54FD">
              <w:rPr>
                <w:sz w:val="21"/>
                <w:szCs w:val="21"/>
              </w:rPr>
              <w:t>offer</w:t>
            </w:r>
            <w:r w:rsidR="00FE4DC5">
              <w:rPr>
                <w:sz w:val="21"/>
                <w:szCs w:val="21"/>
              </w:rPr>
              <w:t>s</w:t>
            </w:r>
            <w:r w:rsidR="00E277DD" w:rsidRPr="00ED54FD">
              <w:rPr>
                <w:sz w:val="21"/>
                <w:szCs w:val="21"/>
              </w:rPr>
              <w:t xml:space="preserve"> a roadmap </w:t>
            </w:r>
            <w:r w:rsidR="00541A6D" w:rsidRPr="00ED54FD">
              <w:rPr>
                <w:sz w:val="21"/>
                <w:szCs w:val="21"/>
              </w:rPr>
              <w:t xml:space="preserve">of practices </w:t>
            </w:r>
            <w:r w:rsidR="00E277DD" w:rsidRPr="00ED54FD">
              <w:rPr>
                <w:sz w:val="21"/>
                <w:szCs w:val="21"/>
              </w:rPr>
              <w:t xml:space="preserve">to maximize the value of </w:t>
            </w:r>
            <w:r w:rsidR="00A35881" w:rsidRPr="00ED54FD">
              <w:rPr>
                <w:sz w:val="21"/>
                <w:szCs w:val="21"/>
              </w:rPr>
              <w:t>your</w:t>
            </w:r>
            <w:r w:rsidR="00E277DD" w:rsidRPr="00ED54FD">
              <w:rPr>
                <w:sz w:val="21"/>
                <w:szCs w:val="21"/>
              </w:rPr>
              <w:t xml:space="preserve"> products/services to </w:t>
            </w:r>
            <w:r w:rsidR="00541A6D" w:rsidRPr="00ED54FD">
              <w:rPr>
                <w:sz w:val="21"/>
                <w:szCs w:val="21"/>
              </w:rPr>
              <w:t>your clients</w:t>
            </w:r>
            <w:r w:rsidR="00FE4DC5">
              <w:rPr>
                <w:sz w:val="21"/>
                <w:szCs w:val="21"/>
              </w:rPr>
              <w:t>.</w:t>
            </w:r>
            <w:r w:rsidR="00E277DD" w:rsidRPr="00ED54FD">
              <w:rPr>
                <w:sz w:val="21"/>
                <w:szCs w:val="21"/>
              </w:rPr>
              <w:t xml:space="preserve"> CXDNA strategy makes it possible, for the first time, to establish a CX culture as a business strategy </w:t>
            </w:r>
            <w:r w:rsidR="00541A6D" w:rsidRPr="00ED54FD">
              <w:rPr>
                <w:sz w:val="21"/>
                <w:szCs w:val="21"/>
              </w:rPr>
              <w:t>that is equal to</w:t>
            </w:r>
            <w:r w:rsidR="00E277DD" w:rsidRPr="00ED54FD">
              <w:rPr>
                <w:sz w:val="21"/>
                <w:szCs w:val="21"/>
              </w:rPr>
              <w:t xml:space="preserve"> sales</w:t>
            </w:r>
            <w:r w:rsidR="000F10EC">
              <w:rPr>
                <w:sz w:val="21"/>
                <w:szCs w:val="21"/>
              </w:rPr>
              <w:t>, marketing</w:t>
            </w:r>
            <w:r w:rsidR="00541A6D" w:rsidRPr="00ED54FD">
              <w:rPr>
                <w:sz w:val="21"/>
                <w:szCs w:val="21"/>
              </w:rPr>
              <w:t xml:space="preserve"> </w:t>
            </w:r>
            <w:r w:rsidR="00E277DD" w:rsidRPr="00ED54FD">
              <w:rPr>
                <w:sz w:val="21"/>
                <w:szCs w:val="21"/>
              </w:rPr>
              <w:t xml:space="preserve">and </w:t>
            </w:r>
            <w:r w:rsidR="00FE4DC5">
              <w:rPr>
                <w:sz w:val="21"/>
                <w:szCs w:val="21"/>
              </w:rPr>
              <w:t xml:space="preserve">all </w:t>
            </w:r>
            <w:r w:rsidR="00E277DD" w:rsidRPr="00ED54FD">
              <w:rPr>
                <w:sz w:val="21"/>
                <w:szCs w:val="21"/>
              </w:rPr>
              <w:t>other traditional operating areas</w:t>
            </w:r>
            <w:r w:rsidR="00A35881" w:rsidRPr="00ED54FD">
              <w:rPr>
                <w:sz w:val="21"/>
                <w:szCs w:val="21"/>
              </w:rPr>
              <w:t>.</w:t>
            </w:r>
            <w:r w:rsidR="00FE4DC5">
              <w:rPr>
                <w:sz w:val="21"/>
                <w:szCs w:val="21"/>
              </w:rPr>
              <w:t xml:space="preserve"> </w:t>
            </w:r>
            <w:r w:rsidR="009B191A" w:rsidRPr="00ED54FD">
              <w:rPr>
                <w:sz w:val="21"/>
                <w:szCs w:val="21"/>
              </w:rPr>
              <w:t>The CXDNA Playbook provides the knowledge and strategy to create a customer-centric culture that begins with an overall CX governance through employee engagement that will raise the awareness of, commitment to and operational practices in, continuously delivering superior customer experiences.</w:t>
            </w:r>
          </w:p>
          <w:p w14:paraId="15F1B205" w14:textId="77777777" w:rsidR="00B3319C" w:rsidRPr="00ED54FD" w:rsidRDefault="00B3319C" w:rsidP="00A35881">
            <w:pPr>
              <w:jc w:val="both"/>
              <w:rPr>
                <w:sz w:val="10"/>
                <w:szCs w:val="10"/>
              </w:rPr>
            </w:pPr>
          </w:p>
          <w:p w14:paraId="5486C9DD" w14:textId="6EF350BC" w:rsidR="00E277DD" w:rsidRPr="00ED54FD" w:rsidRDefault="00A35881" w:rsidP="00A35881">
            <w:pPr>
              <w:jc w:val="both"/>
              <w:rPr>
                <w:sz w:val="21"/>
                <w:szCs w:val="21"/>
              </w:rPr>
            </w:pPr>
            <w:r w:rsidRPr="00ED54FD">
              <w:rPr>
                <w:b/>
                <w:bCs/>
                <w:sz w:val="21"/>
                <w:szCs w:val="21"/>
              </w:rPr>
              <w:t xml:space="preserve">Playbook: Phases (4) with Component Practices </w:t>
            </w:r>
            <w:r w:rsidR="009B191A" w:rsidRPr="00ED54FD">
              <w:rPr>
                <w:b/>
                <w:bCs/>
                <w:sz w:val="21"/>
                <w:szCs w:val="21"/>
              </w:rPr>
              <w:t xml:space="preserve">(3) </w:t>
            </w:r>
            <w:r w:rsidRPr="00ED54FD">
              <w:rPr>
                <w:b/>
                <w:bCs/>
                <w:sz w:val="21"/>
                <w:szCs w:val="21"/>
              </w:rPr>
              <w:t>per phase</w:t>
            </w:r>
          </w:p>
          <w:p w14:paraId="1E29A7A4" w14:textId="7C4EA017" w:rsidR="00541A6D" w:rsidRPr="00ED54FD" w:rsidRDefault="00541A6D" w:rsidP="00E277DD">
            <w:pPr>
              <w:numPr>
                <w:ilvl w:val="0"/>
                <w:numId w:val="6"/>
              </w:numPr>
              <w:jc w:val="both"/>
              <w:rPr>
                <w:b/>
                <w:bCs/>
                <w:sz w:val="21"/>
                <w:szCs w:val="21"/>
              </w:rPr>
            </w:pPr>
            <w:r w:rsidRPr="00ED54FD">
              <w:rPr>
                <w:b/>
                <w:bCs/>
                <w:sz w:val="21"/>
                <w:szCs w:val="21"/>
              </w:rPr>
              <w:t xml:space="preserve">Measure: </w:t>
            </w:r>
            <w:r w:rsidR="002478B8" w:rsidRPr="00ED54FD">
              <w:rPr>
                <w:sz w:val="21"/>
                <w:szCs w:val="21"/>
              </w:rPr>
              <w:t>CX Governance, CX Account Management, CX Technologies</w:t>
            </w:r>
          </w:p>
          <w:p w14:paraId="51FB0AD6" w14:textId="00963987" w:rsidR="00E277DD" w:rsidRPr="00ED54FD" w:rsidRDefault="00E277DD" w:rsidP="00E277DD">
            <w:pPr>
              <w:numPr>
                <w:ilvl w:val="0"/>
                <w:numId w:val="6"/>
              </w:numPr>
              <w:jc w:val="both"/>
              <w:rPr>
                <w:sz w:val="21"/>
                <w:szCs w:val="21"/>
              </w:rPr>
            </w:pPr>
            <w:r w:rsidRPr="00ED54FD">
              <w:rPr>
                <w:b/>
                <w:bCs/>
                <w:sz w:val="21"/>
                <w:szCs w:val="21"/>
              </w:rPr>
              <w:t>Analyze</w:t>
            </w:r>
            <w:r w:rsidRPr="00ED54FD">
              <w:rPr>
                <w:sz w:val="21"/>
                <w:szCs w:val="21"/>
              </w:rPr>
              <w:t xml:space="preserve">: CX Business Intelligence, CX Analytics, CX Benchmarking </w:t>
            </w:r>
          </w:p>
          <w:p w14:paraId="26DB8EA2" w14:textId="77777777" w:rsidR="00E277DD" w:rsidRPr="00ED54FD" w:rsidRDefault="00E277DD" w:rsidP="00E277DD">
            <w:pPr>
              <w:numPr>
                <w:ilvl w:val="0"/>
                <w:numId w:val="6"/>
              </w:numPr>
              <w:jc w:val="both"/>
              <w:rPr>
                <w:sz w:val="21"/>
                <w:szCs w:val="21"/>
              </w:rPr>
            </w:pPr>
            <w:r w:rsidRPr="00ED54FD">
              <w:rPr>
                <w:b/>
                <w:bCs/>
                <w:sz w:val="21"/>
                <w:szCs w:val="21"/>
              </w:rPr>
              <w:t>Act</w:t>
            </w:r>
            <w:r w:rsidRPr="00ED54FD">
              <w:rPr>
                <w:sz w:val="21"/>
                <w:szCs w:val="21"/>
              </w:rPr>
              <w:t>: CX Corrective Action, CX Employee Engagement, CX Change Management</w:t>
            </w:r>
          </w:p>
          <w:p w14:paraId="4FFB9CFD" w14:textId="77777777" w:rsidR="00E277DD" w:rsidRPr="00ED54FD" w:rsidRDefault="00E277DD" w:rsidP="00E277DD">
            <w:pPr>
              <w:numPr>
                <w:ilvl w:val="0"/>
                <w:numId w:val="6"/>
              </w:numPr>
              <w:jc w:val="both"/>
              <w:rPr>
                <w:sz w:val="21"/>
                <w:szCs w:val="21"/>
              </w:rPr>
            </w:pPr>
            <w:r w:rsidRPr="00ED54FD">
              <w:rPr>
                <w:b/>
                <w:bCs/>
                <w:sz w:val="21"/>
                <w:szCs w:val="21"/>
              </w:rPr>
              <w:t>Assess</w:t>
            </w:r>
            <w:r w:rsidRPr="00ED54FD">
              <w:rPr>
                <w:sz w:val="21"/>
                <w:szCs w:val="21"/>
              </w:rPr>
              <w:t>: CX Stakeholders Communications, CX Win-back Strategy CX Return on Investment (ROI)</w:t>
            </w:r>
          </w:p>
          <w:p w14:paraId="02C28256" w14:textId="77777777" w:rsidR="00E277DD" w:rsidRPr="00ED54FD" w:rsidRDefault="00E277DD" w:rsidP="00E277DD">
            <w:pPr>
              <w:jc w:val="both"/>
              <w:rPr>
                <w:sz w:val="10"/>
                <w:szCs w:val="10"/>
              </w:rPr>
            </w:pPr>
          </w:p>
          <w:p w14:paraId="21940AD4" w14:textId="77777777" w:rsidR="009C142C" w:rsidRDefault="00135550" w:rsidP="000C54A5">
            <w:pPr>
              <w:jc w:val="both"/>
              <w:rPr>
                <w:b/>
                <w:bCs/>
                <w:sz w:val="21"/>
                <w:szCs w:val="21"/>
              </w:rPr>
            </w:pPr>
            <w:r w:rsidRPr="00ED54FD">
              <w:rPr>
                <w:b/>
                <w:bCs/>
                <w:sz w:val="21"/>
                <w:szCs w:val="21"/>
              </w:rPr>
              <w:t>Your organization</w:t>
            </w:r>
            <w:r w:rsidR="00541A6D" w:rsidRPr="00ED54FD">
              <w:rPr>
                <w:b/>
                <w:bCs/>
                <w:sz w:val="21"/>
                <w:szCs w:val="21"/>
              </w:rPr>
              <w:t xml:space="preserve">s applicable </w:t>
            </w:r>
            <w:r w:rsidRPr="00ED54FD">
              <w:rPr>
                <w:b/>
                <w:bCs/>
                <w:sz w:val="21"/>
                <w:szCs w:val="21"/>
              </w:rPr>
              <w:t xml:space="preserve">CX practices will be included in our </w:t>
            </w:r>
            <w:r w:rsidR="00A35881" w:rsidRPr="00ED54FD">
              <w:rPr>
                <w:b/>
                <w:bCs/>
                <w:sz w:val="21"/>
                <w:szCs w:val="21"/>
              </w:rPr>
              <w:t xml:space="preserve">CXDNA </w:t>
            </w:r>
            <w:r w:rsidRPr="00ED54FD">
              <w:rPr>
                <w:b/>
                <w:bCs/>
                <w:sz w:val="21"/>
                <w:szCs w:val="21"/>
              </w:rPr>
              <w:t xml:space="preserve">Playbook Strategy and your NFSB Co-brand award will </w:t>
            </w:r>
            <w:r w:rsidR="009B191A" w:rsidRPr="00ED54FD">
              <w:rPr>
                <w:b/>
                <w:bCs/>
                <w:sz w:val="21"/>
                <w:szCs w:val="21"/>
              </w:rPr>
              <w:t>display powered by CXDNA Playbook, your logo/your CXDNA practice to all your NFSB recipients.</w:t>
            </w:r>
          </w:p>
          <w:p w14:paraId="45741C1F" w14:textId="53593D5D" w:rsidR="00FE4DC5" w:rsidRPr="009B191A" w:rsidRDefault="00FE4DC5" w:rsidP="000C54A5">
            <w:pPr>
              <w:jc w:val="both"/>
              <w:rPr>
                <w:b/>
                <w:bCs/>
              </w:rPr>
            </w:pPr>
          </w:p>
        </w:tc>
      </w:tr>
      <w:tr w:rsidR="005A3C03" w14:paraId="2A83485D" w14:textId="77777777" w:rsidTr="00ED54FD">
        <w:trPr>
          <w:trHeight w:val="495"/>
          <w:jc w:val="center"/>
        </w:trPr>
        <w:tc>
          <w:tcPr>
            <w:tcW w:w="11520" w:type="dxa"/>
            <w:gridSpan w:val="10"/>
            <w:shd w:val="clear" w:color="auto" w:fill="767171" w:themeFill="background2" w:themeFillShade="80"/>
            <w:vAlign w:val="center"/>
          </w:tcPr>
          <w:p w14:paraId="4C660619" w14:textId="77777777" w:rsidR="008124BE" w:rsidRDefault="008124BE" w:rsidP="005A3C03">
            <w:pPr>
              <w:jc w:val="center"/>
              <w:rPr>
                <w:b/>
                <w:color w:val="FFFFFF" w:themeColor="background1"/>
                <w:sz w:val="28"/>
                <w:szCs w:val="28"/>
              </w:rPr>
            </w:pPr>
            <w:r>
              <w:rPr>
                <w:b/>
                <w:color w:val="FFFFFF" w:themeColor="background1"/>
                <w:sz w:val="28"/>
                <w:szCs w:val="28"/>
              </w:rPr>
              <w:t xml:space="preserve">CXDNA Playbook Partnership will transitions your organization </w:t>
            </w:r>
          </w:p>
          <w:p w14:paraId="2C754921" w14:textId="1CBD2858" w:rsidR="005A3C03" w:rsidRPr="000D7898" w:rsidRDefault="008124BE" w:rsidP="005A3C03">
            <w:pPr>
              <w:jc w:val="center"/>
              <w:rPr>
                <w:b/>
                <w:color w:val="FFFFFF" w:themeColor="background1"/>
                <w:sz w:val="28"/>
                <w:szCs w:val="28"/>
              </w:rPr>
            </w:pPr>
            <w:r>
              <w:rPr>
                <w:b/>
                <w:color w:val="FFFFFF" w:themeColor="background1"/>
                <w:sz w:val="28"/>
                <w:szCs w:val="28"/>
              </w:rPr>
              <w:t xml:space="preserve">from </w:t>
            </w:r>
            <w:r w:rsidR="009B191A">
              <w:rPr>
                <w:b/>
                <w:color w:val="FFFFFF" w:themeColor="background1"/>
                <w:sz w:val="28"/>
                <w:szCs w:val="28"/>
              </w:rPr>
              <w:t>CX V</w:t>
            </w:r>
            <w:r>
              <w:rPr>
                <w:b/>
                <w:color w:val="FFFFFF" w:themeColor="background1"/>
                <w:sz w:val="28"/>
                <w:szCs w:val="28"/>
              </w:rPr>
              <w:t>endor to trusted CX Advisor</w:t>
            </w:r>
          </w:p>
        </w:tc>
      </w:tr>
      <w:tr w:rsidR="00305D9D" w14:paraId="0C93C564" w14:textId="77777777" w:rsidTr="00FE4DC5">
        <w:trPr>
          <w:trHeight w:val="1935"/>
          <w:jc w:val="center"/>
        </w:trPr>
        <w:tc>
          <w:tcPr>
            <w:tcW w:w="3907" w:type="dxa"/>
            <w:gridSpan w:val="6"/>
            <w:shd w:val="clear" w:color="auto" w:fill="2F5496" w:themeFill="accent1" w:themeFillShade="BF"/>
            <w:vAlign w:val="center"/>
          </w:tcPr>
          <w:p w14:paraId="3C931955" w14:textId="5DCF2601" w:rsidR="005A3C03" w:rsidRPr="00132FD0" w:rsidRDefault="005A3C03" w:rsidP="005A3C03">
            <w:pPr>
              <w:jc w:val="center"/>
              <w:rPr>
                <w:b/>
                <w:color w:val="FFFFFF" w:themeColor="background1"/>
              </w:rPr>
            </w:pPr>
            <w:r w:rsidRPr="00132FD0">
              <w:rPr>
                <w:b/>
                <w:noProof/>
                <w:color w:val="FFFFFF" w:themeColor="background1"/>
              </w:rPr>
              <w:drawing>
                <wp:inline distT="0" distB="0" distL="0" distR="0" wp14:anchorId="655ECFB5" wp14:editId="4269672E">
                  <wp:extent cx="1509857" cy="8857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MI Logo_150px.png"/>
                          <pic:cNvPicPr/>
                        </pic:nvPicPr>
                        <pic:blipFill>
                          <a:blip r:embed="rId37">
                            <a:extLst>
                              <a:ext uri="{28A0092B-C50C-407E-A947-70E740481C1C}">
                                <a14:useLocalDpi xmlns:a14="http://schemas.microsoft.com/office/drawing/2010/main" val="0"/>
                              </a:ext>
                            </a:extLst>
                          </a:blip>
                          <a:stretch>
                            <a:fillRect/>
                          </a:stretch>
                        </pic:blipFill>
                        <pic:spPr>
                          <a:xfrm>
                            <a:off x="0" y="0"/>
                            <a:ext cx="1576921" cy="925126"/>
                          </a:xfrm>
                          <a:prstGeom prst="rect">
                            <a:avLst/>
                          </a:prstGeom>
                        </pic:spPr>
                      </pic:pic>
                    </a:graphicData>
                  </a:graphic>
                </wp:inline>
              </w:drawing>
            </w:r>
          </w:p>
          <w:p w14:paraId="097BD54E" w14:textId="18EAA933" w:rsidR="00935B97" w:rsidRPr="00FB2AD9" w:rsidRDefault="00132FD0" w:rsidP="00FB2AD9">
            <w:pPr>
              <w:jc w:val="center"/>
              <w:rPr>
                <w:b/>
                <w:color w:val="FFFFFF" w:themeColor="background1"/>
                <w:sz w:val="20"/>
                <w:szCs w:val="20"/>
              </w:rPr>
            </w:pPr>
            <w:r w:rsidRPr="005E578A">
              <w:rPr>
                <w:b/>
                <w:color w:val="FFFFFF" w:themeColor="background1"/>
                <w:sz w:val="20"/>
                <w:szCs w:val="20"/>
              </w:rPr>
              <w:t>Exceeding Customer Expectations - One Experience at a Time</w:t>
            </w:r>
            <w:r w:rsidR="00D8183C" w:rsidRPr="005E578A">
              <w:rPr>
                <w:b/>
                <w:color w:val="FFFFFF" w:themeColor="background1"/>
                <w:sz w:val="20"/>
                <w:szCs w:val="20"/>
              </w:rPr>
              <w:t>℠</w:t>
            </w:r>
          </w:p>
        </w:tc>
        <w:tc>
          <w:tcPr>
            <w:tcW w:w="7613" w:type="dxa"/>
            <w:gridSpan w:val="4"/>
            <w:shd w:val="clear" w:color="auto" w:fill="2F5496" w:themeFill="accent1" w:themeFillShade="BF"/>
            <w:vAlign w:val="center"/>
          </w:tcPr>
          <w:p w14:paraId="2C621109" w14:textId="7FD018D8" w:rsidR="00935B97" w:rsidRPr="00ED54FD" w:rsidRDefault="002A67FB" w:rsidP="00ED54FD">
            <w:pPr>
              <w:pBdr>
                <w:bottom w:val="single" w:sz="12" w:space="1" w:color="auto"/>
              </w:pBdr>
              <w:jc w:val="both"/>
              <w:rPr>
                <w:color w:val="FFFFFF" w:themeColor="background1"/>
                <w:sz w:val="20"/>
                <w:szCs w:val="20"/>
              </w:rPr>
            </w:pPr>
            <w:r w:rsidRPr="00826998">
              <w:rPr>
                <w:color w:val="FFFFFF" w:themeColor="background1"/>
                <w:sz w:val="20"/>
                <w:szCs w:val="20"/>
              </w:rPr>
              <w:t xml:space="preserve">CRMI is your Customer Experience Management (CEM) partner. Empower your organization with the knowledge </w:t>
            </w:r>
            <w:r w:rsidR="008124BE">
              <w:rPr>
                <w:color w:val="FFFFFF" w:themeColor="background1"/>
                <w:sz w:val="20"/>
                <w:szCs w:val="20"/>
              </w:rPr>
              <w:t>-</w:t>
            </w:r>
            <w:r w:rsidRPr="00826998">
              <w:rPr>
                <w:color w:val="FFFFFF" w:themeColor="background1"/>
                <w:sz w:val="20"/>
                <w:szCs w:val="20"/>
              </w:rPr>
              <w:t xml:space="preserve"> </w:t>
            </w:r>
            <w:r w:rsidR="0091566D" w:rsidRPr="00826998">
              <w:rPr>
                <w:color w:val="FFFFFF" w:themeColor="background1"/>
                <w:sz w:val="20"/>
                <w:szCs w:val="20"/>
              </w:rPr>
              <w:t>training</w:t>
            </w:r>
            <w:r w:rsidRPr="00826998">
              <w:rPr>
                <w:color w:val="FFFFFF" w:themeColor="background1"/>
                <w:sz w:val="20"/>
                <w:szCs w:val="20"/>
              </w:rPr>
              <w:t xml:space="preserve"> </w:t>
            </w:r>
            <w:r w:rsidR="008124BE">
              <w:rPr>
                <w:color w:val="FFFFFF" w:themeColor="background1"/>
                <w:sz w:val="20"/>
                <w:szCs w:val="20"/>
              </w:rPr>
              <w:t xml:space="preserve">- technology </w:t>
            </w:r>
            <w:r w:rsidR="000D7898" w:rsidRPr="00826998">
              <w:rPr>
                <w:color w:val="FFFFFF" w:themeColor="background1"/>
                <w:sz w:val="20"/>
                <w:szCs w:val="20"/>
              </w:rPr>
              <w:t>for delivering</w:t>
            </w:r>
            <w:r w:rsidR="00377E15" w:rsidRPr="00826998">
              <w:rPr>
                <w:color w:val="FFFFFF" w:themeColor="background1"/>
                <w:sz w:val="20"/>
                <w:szCs w:val="20"/>
              </w:rPr>
              <w:t xml:space="preserve"> </w:t>
            </w:r>
            <w:r w:rsidRPr="00826998">
              <w:rPr>
                <w:color w:val="FFFFFF" w:themeColor="background1"/>
                <w:sz w:val="20"/>
                <w:szCs w:val="20"/>
              </w:rPr>
              <w:t xml:space="preserve">the ultimate customer experience. Build loyalty, drive revenue and maximize </w:t>
            </w:r>
            <w:r w:rsidR="00135550">
              <w:rPr>
                <w:color w:val="FFFFFF" w:themeColor="background1"/>
                <w:sz w:val="20"/>
                <w:szCs w:val="20"/>
              </w:rPr>
              <w:t>your customer’s</w:t>
            </w:r>
            <w:r w:rsidRPr="00826998">
              <w:rPr>
                <w:color w:val="FFFFFF" w:themeColor="background1"/>
                <w:sz w:val="20"/>
                <w:szCs w:val="20"/>
              </w:rPr>
              <w:t xml:space="preserve"> satisfaction with </w:t>
            </w:r>
            <w:r w:rsidR="008E44AE" w:rsidRPr="00826998">
              <w:rPr>
                <w:color w:val="FFFFFF" w:themeColor="background1"/>
                <w:sz w:val="20"/>
                <w:szCs w:val="20"/>
              </w:rPr>
              <w:t xml:space="preserve">a </w:t>
            </w:r>
            <w:r w:rsidRPr="00826998">
              <w:rPr>
                <w:color w:val="FFFFFF" w:themeColor="background1"/>
                <w:sz w:val="20"/>
                <w:szCs w:val="20"/>
              </w:rPr>
              <w:t xml:space="preserve">proven </w:t>
            </w:r>
            <w:r w:rsidR="002255F0" w:rsidRPr="00826998">
              <w:rPr>
                <w:color w:val="FFFFFF" w:themeColor="background1"/>
                <w:sz w:val="20"/>
                <w:szCs w:val="20"/>
              </w:rPr>
              <w:t>CX</w:t>
            </w:r>
            <w:r w:rsidR="00377E15" w:rsidRPr="00826998">
              <w:rPr>
                <w:color w:val="FFFFFF" w:themeColor="background1"/>
                <w:sz w:val="20"/>
                <w:szCs w:val="20"/>
              </w:rPr>
              <w:t>DNA Playbook</w:t>
            </w:r>
            <w:r w:rsidR="008E44AE" w:rsidRPr="00826998">
              <w:rPr>
                <w:color w:val="FFFFFF" w:themeColor="background1"/>
                <w:sz w:val="20"/>
                <w:szCs w:val="20"/>
              </w:rPr>
              <w:t xml:space="preserve"> Strategy</w:t>
            </w:r>
            <w:r w:rsidR="009F0681" w:rsidRPr="00826998">
              <w:rPr>
                <w:color w:val="FFFFFF" w:themeColor="background1"/>
                <w:sz w:val="20"/>
                <w:szCs w:val="20"/>
              </w:rPr>
              <w:t>.</w:t>
            </w:r>
          </w:p>
          <w:p w14:paraId="40F1FBD2" w14:textId="77777777" w:rsidR="00CF21EC" w:rsidRPr="005E578A" w:rsidRDefault="00CF21EC" w:rsidP="002A67FB">
            <w:pPr>
              <w:pBdr>
                <w:bottom w:val="single" w:sz="12" w:space="1" w:color="auto"/>
              </w:pBdr>
              <w:rPr>
                <w:color w:val="FFFFFF" w:themeColor="background1"/>
                <w:sz w:val="10"/>
                <w:szCs w:val="10"/>
              </w:rPr>
            </w:pPr>
          </w:p>
          <w:p w14:paraId="75197918" w14:textId="77777777" w:rsidR="00CF21EC" w:rsidRPr="005E578A" w:rsidRDefault="00CF21EC" w:rsidP="002A67FB">
            <w:pPr>
              <w:rPr>
                <w:b/>
                <w:color w:val="FFFFFF" w:themeColor="background1"/>
                <w:sz w:val="10"/>
                <w:szCs w:val="10"/>
              </w:rPr>
            </w:pPr>
          </w:p>
          <w:p w14:paraId="7740D0B6" w14:textId="3E5C5D5F" w:rsidR="002A67FB" w:rsidRPr="00CF21EC" w:rsidRDefault="002A67FB" w:rsidP="002A67FB">
            <w:pPr>
              <w:rPr>
                <w:b/>
                <w:color w:val="FFFFFF" w:themeColor="background1"/>
                <w:sz w:val="20"/>
                <w:szCs w:val="20"/>
              </w:rPr>
            </w:pPr>
            <w:r w:rsidRPr="00826998">
              <w:rPr>
                <w:b/>
                <w:color w:val="FFFFFF" w:themeColor="background1"/>
                <w:sz w:val="20"/>
                <w:szCs w:val="20"/>
              </w:rPr>
              <w:t>P</w:t>
            </w:r>
            <w:r w:rsidR="00D00B12" w:rsidRPr="00826998">
              <w:rPr>
                <w:b/>
                <w:color w:val="FFFFFF" w:themeColor="background1"/>
                <w:sz w:val="20"/>
                <w:szCs w:val="20"/>
              </w:rPr>
              <w:t>h</w:t>
            </w:r>
            <w:r w:rsidR="00CF21EC">
              <w:rPr>
                <w:b/>
                <w:color w:val="FFFFFF" w:themeColor="background1"/>
                <w:sz w:val="20"/>
                <w:szCs w:val="20"/>
              </w:rPr>
              <w:t>:</w:t>
            </w:r>
            <w:r w:rsidRPr="00826998">
              <w:rPr>
                <w:b/>
                <w:color w:val="FFFFFF" w:themeColor="background1"/>
                <w:sz w:val="20"/>
                <w:szCs w:val="20"/>
              </w:rPr>
              <w:t xml:space="preserve"> 978-710-3278 | Email: </w:t>
            </w:r>
            <w:hyperlink r:id="rId38" w:history="1">
              <w:r w:rsidR="002255F0" w:rsidRPr="00826998">
                <w:rPr>
                  <w:rStyle w:val="Hyperlink"/>
                  <w:b/>
                  <w:color w:val="FFFFFF" w:themeColor="background1"/>
                  <w:sz w:val="20"/>
                  <w:szCs w:val="20"/>
                </w:rPr>
                <w:t>drivera@crmirewards.com</w:t>
              </w:r>
            </w:hyperlink>
            <w:r w:rsidR="002255F0" w:rsidRPr="00826998">
              <w:rPr>
                <w:b/>
                <w:color w:val="FFFFFF" w:themeColor="background1"/>
                <w:sz w:val="20"/>
                <w:szCs w:val="20"/>
              </w:rPr>
              <w:t xml:space="preserve"> | </w:t>
            </w:r>
            <w:r w:rsidR="00D00C5F" w:rsidRPr="00826998">
              <w:rPr>
                <w:b/>
                <w:color w:val="FFFFFF" w:themeColor="background1"/>
                <w:sz w:val="20"/>
                <w:szCs w:val="20"/>
              </w:rPr>
              <w:t>W</w:t>
            </w:r>
            <w:r w:rsidR="009F40E6" w:rsidRPr="00826998">
              <w:rPr>
                <w:b/>
                <w:color w:val="FFFFFF" w:themeColor="background1"/>
                <w:sz w:val="20"/>
                <w:szCs w:val="20"/>
              </w:rPr>
              <w:t>ebsite:</w:t>
            </w:r>
            <w:r w:rsidR="00CF21EC">
              <w:rPr>
                <w:b/>
                <w:color w:val="FFFFFF" w:themeColor="background1"/>
                <w:sz w:val="20"/>
                <w:szCs w:val="20"/>
              </w:rPr>
              <w:t xml:space="preserve"> </w:t>
            </w:r>
            <w:r w:rsidR="00D00C5F" w:rsidRPr="00826998">
              <w:rPr>
                <w:b/>
                <w:color w:val="FFFFFF" w:themeColor="background1"/>
                <w:sz w:val="20"/>
                <w:szCs w:val="20"/>
              </w:rPr>
              <w:t>www.crmirewards.com</w:t>
            </w:r>
          </w:p>
        </w:tc>
      </w:tr>
    </w:tbl>
    <w:p w14:paraId="1C0836C4" w14:textId="77777777" w:rsidR="001B799C" w:rsidRDefault="001B799C" w:rsidP="00B3319C"/>
    <w:sectPr w:rsidR="001B799C" w:rsidSect="005C06BB">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28C8"/>
    <w:multiLevelType w:val="hybridMultilevel"/>
    <w:tmpl w:val="5E008D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295781C"/>
    <w:multiLevelType w:val="hybridMultilevel"/>
    <w:tmpl w:val="3A5A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38D0"/>
    <w:multiLevelType w:val="hybridMultilevel"/>
    <w:tmpl w:val="8852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032D4"/>
    <w:multiLevelType w:val="hybridMultilevel"/>
    <w:tmpl w:val="5C4E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B2A86"/>
    <w:multiLevelType w:val="hybridMultilevel"/>
    <w:tmpl w:val="05EC7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81DD0"/>
    <w:multiLevelType w:val="hybridMultilevel"/>
    <w:tmpl w:val="4B9C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48"/>
    <w:rsid w:val="00001BE8"/>
    <w:rsid w:val="00006E61"/>
    <w:rsid w:val="00012D9C"/>
    <w:rsid w:val="0002213C"/>
    <w:rsid w:val="0004229A"/>
    <w:rsid w:val="00046688"/>
    <w:rsid w:val="000576F5"/>
    <w:rsid w:val="00066C7C"/>
    <w:rsid w:val="00067F2E"/>
    <w:rsid w:val="00075D6A"/>
    <w:rsid w:val="00075E80"/>
    <w:rsid w:val="00076C4C"/>
    <w:rsid w:val="000A4628"/>
    <w:rsid w:val="000A6C94"/>
    <w:rsid w:val="000B15D3"/>
    <w:rsid w:val="000B3ED7"/>
    <w:rsid w:val="000C18F7"/>
    <w:rsid w:val="000C407E"/>
    <w:rsid w:val="000C54A5"/>
    <w:rsid w:val="000C58CF"/>
    <w:rsid w:val="000D1234"/>
    <w:rsid w:val="000D1B90"/>
    <w:rsid w:val="000D6E91"/>
    <w:rsid w:val="000D7898"/>
    <w:rsid w:val="000F0FAD"/>
    <w:rsid w:val="000F10EC"/>
    <w:rsid w:val="000F14D3"/>
    <w:rsid w:val="000F4312"/>
    <w:rsid w:val="0010373A"/>
    <w:rsid w:val="00124A5C"/>
    <w:rsid w:val="00125E1A"/>
    <w:rsid w:val="00132FD0"/>
    <w:rsid w:val="0013391A"/>
    <w:rsid w:val="00135550"/>
    <w:rsid w:val="00162241"/>
    <w:rsid w:val="00164217"/>
    <w:rsid w:val="00166158"/>
    <w:rsid w:val="0018144A"/>
    <w:rsid w:val="00181A44"/>
    <w:rsid w:val="00182FAA"/>
    <w:rsid w:val="0018407B"/>
    <w:rsid w:val="00191F57"/>
    <w:rsid w:val="00195047"/>
    <w:rsid w:val="001A1CF8"/>
    <w:rsid w:val="001B799C"/>
    <w:rsid w:val="001D031B"/>
    <w:rsid w:val="001D3DAD"/>
    <w:rsid w:val="001E2613"/>
    <w:rsid w:val="001E3FD5"/>
    <w:rsid w:val="001E4BA1"/>
    <w:rsid w:val="00206F91"/>
    <w:rsid w:val="00210E66"/>
    <w:rsid w:val="00221CEA"/>
    <w:rsid w:val="002240F3"/>
    <w:rsid w:val="002255F0"/>
    <w:rsid w:val="00227AF3"/>
    <w:rsid w:val="002448A1"/>
    <w:rsid w:val="002478B8"/>
    <w:rsid w:val="00251347"/>
    <w:rsid w:val="002528ED"/>
    <w:rsid w:val="00253B00"/>
    <w:rsid w:val="00257239"/>
    <w:rsid w:val="00262F66"/>
    <w:rsid w:val="00265167"/>
    <w:rsid w:val="00274334"/>
    <w:rsid w:val="00284BB8"/>
    <w:rsid w:val="00297E48"/>
    <w:rsid w:val="002A3356"/>
    <w:rsid w:val="002A42A2"/>
    <w:rsid w:val="002A67FB"/>
    <w:rsid w:val="002B67FD"/>
    <w:rsid w:val="002D201B"/>
    <w:rsid w:val="002D43E0"/>
    <w:rsid w:val="002D690F"/>
    <w:rsid w:val="002E1DCA"/>
    <w:rsid w:val="002E37F8"/>
    <w:rsid w:val="003028BF"/>
    <w:rsid w:val="00305D9D"/>
    <w:rsid w:val="003167B1"/>
    <w:rsid w:val="00326037"/>
    <w:rsid w:val="00330AA9"/>
    <w:rsid w:val="003344E2"/>
    <w:rsid w:val="00334525"/>
    <w:rsid w:val="003356FB"/>
    <w:rsid w:val="00342F70"/>
    <w:rsid w:val="0034389A"/>
    <w:rsid w:val="00360A6A"/>
    <w:rsid w:val="00375B97"/>
    <w:rsid w:val="00377E15"/>
    <w:rsid w:val="0038399C"/>
    <w:rsid w:val="0039730F"/>
    <w:rsid w:val="003A4EDE"/>
    <w:rsid w:val="003A5A62"/>
    <w:rsid w:val="003B46B4"/>
    <w:rsid w:val="003C09CA"/>
    <w:rsid w:val="003C39E1"/>
    <w:rsid w:val="003C3CFC"/>
    <w:rsid w:val="003C4AD6"/>
    <w:rsid w:val="003D2623"/>
    <w:rsid w:val="003D2D84"/>
    <w:rsid w:val="003E71B3"/>
    <w:rsid w:val="003F6412"/>
    <w:rsid w:val="00415183"/>
    <w:rsid w:val="004270DE"/>
    <w:rsid w:val="0043260D"/>
    <w:rsid w:val="004376B1"/>
    <w:rsid w:val="00440B06"/>
    <w:rsid w:val="00440BAE"/>
    <w:rsid w:val="0046312D"/>
    <w:rsid w:val="00481CFF"/>
    <w:rsid w:val="00495E30"/>
    <w:rsid w:val="004C021B"/>
    <w:rsid w:val="004C42C5"/>
    <w:rsid w:val="004C4D3C"/>
    <w:rsid w:val="004C6CD0"/>
    <w:rsid w:val="004C6E67"/>
    <w:rsid w:val="004D7617"/>
    <w:rsid w:val="004F6F4E"/>
    <w:rsid w:val="00500BA4"/>
    <w:rsid w:val="00501CA9"/>
    <w:rsid w:val="00513A2B"/>
    <w:rsid w:val="00535E3A"/>
    <w:rsid w:val="00541A6D"/>
    <w:rsid w:val="00560BD6"/>
    <w:rsid w:val="00561F8E"/>
    <w:rsid w:val="0056282D"/>
    <w:rsid w:val="00571157"/>
    <w:rsid w:val="00572EB1"/>
    <w:rsid w:val="00583FCA"/>
    <w:rsid w:val="005902DD"/>
    <w:rsid w:val="0059222D"/>
    <w:rsid w:val="005A0623"/>
    <w:rsid w:val="005A3C03"/>
    <w:rsid w:val="005A7CBC"/>
    <w:rsid w:val="005B0A22"/>
    <w:rsid w:val="005B18AD"/>
    <w:rsid w:val="005B4684"/>
    <w:rsid w:val="005B4C13"/>
    <w:rsid w:val="005C06BB"/>
    <w:rsid w:val="005C28A9"/>
    <w:rsid w:val="005D714C"/>
    <w:rsid w:val="005E578A"/>
    <w:rsid w:val="005F40CA"/>
    <w:rsid w:val="005F7C45"/>
    <w:rsid w:val="00620C48"/>
    <w:rsid w:val="00622E84"/>
    <w:rsid w:val="00634A98"/>
    <w:rsid w:val="00672D03"/>
    <w:rsid w:val="006802F0"/>
    <w:rsid w:val="0068688B"/>
    <w:rsid w:val="006A400C"/>
    <w:rsid w:val="006C155F"/>
    <w:rsid w:val="006F0B6F"/>
    <w:rsid w:val="006F40C0"/>
    <w:rsid w:val="006F7245"/>
    <w:rsid w:val="007106E8"/>
    <w:rsid w:val="007134E4"/>
    <w:rsid w:val="007226CB"/>
    <w:rsid w:val="007268FF"/>
    <w:rsid w:val="00734082"/>
    <w:rsid w:val="007520BD"/>
    <w:rsid w:val="00761EAE"/>
    <w:rsid w:val="00765AE9"/>
    <w:rsid w:val="00770CB6"/>
    <w:rsid w:val="00776CC8"/>
    <w:rsid w:val="00787982"/>
    <w:rsid w:val="007906A7"/>
    <w:rsid w:val="007946CB"/>
    <w:rsid w:val="00796EDA"/>
    <w:rsid w:val="007A4065"/>
    <w:rsid w:val="007A6D8E"/>
    <w:rsid w:val="007C601D"/>
    <w:rsid w:val="007D2626"/>
    <w:rsid w:val="007E077B"/>
    <w:rsid w:val="007E61AF"/>
    <w:rsid w:val="007F556A"/>
    <w:rsid w:val="007F5FEC"/>
    <w:rsid w:val="00804775"/>
    <w:rsid w:val="008124BE"/>
    <w:rsid w:val="00826998"/>
    <w:rsid w:val="008314CA"/>
    <w:rsid w:val="00843557"/>
    <w:rsid w:val="008753A0"/>
    <w:rsid w:val="008930B7"/>
    <w:rsid w:val="00893FA7"/>
    <w:rsid w:val="008A0850"/>
    <w:rsid w:val="008A1215"/>
    <w:rsid w:val="008C64FA"/>
    <w:rsid w:val="008C6EF8"/>
    <w:rsid w:val="008C7C72"/>
    <w:rsid w:val="008E2DC1"/>
    <w:rsid w:val="008E44AE"/>
    <w:rsid w:val="008F1D8D"/>
    <w:rsid w:val="008F4E01"/>
    <w:rsid w:val="0091566D"/>
    <w:rsid w:val="009263CD"/>
    <w:rsid w:val="009318E1"/>
    <w:rsid w:val="00935B97"/>
    <w:rsid w:val="00944639"/>
    <w:rsid w:val="009465EC"/>
    <w:rsid w:val="00952BD0"/>
    <w:rsid w:val="00971BE2"/>
    <w:rsid w:val="009731D6"/>
    <w:rsid w:val="00982E77"/>
    <w:rsid w:val="00985E12"/>
    <w:rsid w:val="009936F9"/>
    <w:rsid w:val="009A5C56"/>
    <w:rsid w:val="009B191A"/>
    <w:rsid w:val="009B70D5"/>
    <w:rsid w:val="009C142C"/>
    <w:rsid w:val="009D5F29"/>
    <w:rsid w:val="009E5384"/>
    <w:rsid w:val="009F0681"/>
    <w:rsid w:val="009F40E6"/>
    <w:rsid w:val="009F7801"/>
    <w:rsid w:val="00A015F2"/>
    <w:rsid w:val="00A1346F"/>
    <w:rsid w:val="00A1505F"/>
    <w:rsid w:val="00A27FDE"/>
    <w:rsid w:val="00A35881"/>
    <w:rsid w:val="00A36F30"/>
    <w:rsid w:val="00A42366"/>
    <w:rsid w:val="00A446B6"/>
    <w:rsid w:val="00A4494F"/>
    <w:rsid w:val="00A6006B"/>
    <w:rsid w:val="00A84DE0"/>
    <w:rsid w:val="00A86978"/>
    <w:rsid w:val="00A9305A"/>
    <w:rsid w:val="00AC17D1"/>
    <w:rsid w:val="00AC1A6B"/>
    <w:rsid w:val="00AC1C69"/>
    <w:rsid w:val="00AE2114"/>
    <w:rsid w:val="00AE7887"/>
    <w:rsid w:val="00AF7448"/>
    <w:rsid w:val="00AF7E26"/>
    <w:rsid w:val="00AF7E91"/>
    <w:rsid w:val="00B0205B"/>
    <w:rsid w:val="00B07982"/>
    <w:rsid w:val="00B07A5C"/>
    <w:rsid w:val="00B1724E"/>
    <w:rsid w:val="00B243B9"/>
    <w:rsid w:val="00B32CF7"/>
    <w:rsid w:val="00B3319C"/>
    <w:rsid w:val="00B35094"/>
    <w:rsid w:val="00B35A68"/>
    <w:rsid w:val="00B3623D"/>
    <w:rsid w:val="00B642E8"/>
    <w:rsid w:val="00B7109A"/>
    <w:rsid w:val="00B715C2"/>
    <w:rsid w:val="00B7774C"/>
    <w:rsid w:val="00B8382D"/>
    <w:rsid w:val="00B97CFB"/>
    <w:rsid w:val="00BA2344"/>
    <w:rsid w:val="00BB596F"/>
    <w:rsid w:val="00BB74ED"/>
    <w:rsid w:val="00BB7FAA"/>
    <w:rsid w:val="00BC3259"/>
    <w:rsid w:val="00BC4095"/>
    <w:rsid w:val="00BC6C6F"/>
    <w:rsid w:val="00BD65E3"/>
    <w:rsid w:val="00BE0104"/>
    <w:rsid w:val="00BF4012"/>
    <w:rsid w:val="00BF542E"/>
    <w:rsid w:val="00C05F25"/>
    <w:rsid w:val="00C113AB"/>
    <w:rsid w:val="00C11749"/>
    <w:rsid w:val="00C91EA4"/>
    <w:rsid w:val="00CA5687"/>
    <w:rsid w:val="00CF21EC"/>
    <w:rsid w:val="00D00B12"/>
    <w:rsid w:val="00D00C5F"/>
    <w:rsid w:val="00D03FD0"/>
    <w:rsid w:val="00D21F82"/>
    <w:rsid w:val="00D23F9A"/>
    <w:rsid w:val="00D271E4"/>
    <w:rsid w:val="00D30420"/>
    <w:rsid w:val="00D31172"/>
    <w:rsid w:val="00D33476"/>
    <w:rsid w:val="00D573A0"/>
    <w:rsid w:val="00D70600"/>
    <w:rsid w:val="00D805F1"/>
    <w:rsid w:val="00D814A2"/>
    <w:rsid w:val="00D8183C"/>
    <w:rsid w:val="00D862B9"/>
    <w:rsid w:val="00D93BDE"/>
    <w:rsid w:val="00DB1D92"/>
    <w:rsid w:val="00DC696F"/>
    <w:rsid w:val="00DD55C7"/>
    <w:rsid w:val="00DE5E5E"/>
    <w:rsid w:val="00DF1FA5"/>
    <w:rsid w:val="00DF456B"/>
    <w:rsid w:val="00DF477D"/>
    <w:rsid w:val="00DF7F0B"/>
    <w:rsid w:val="00E02833"/>
    <w:rsid w:val="00E03362"/>
    <w:rsid w:val="00E03909"/>
    <w:rsid w:val="00E102B3"/>
    <w:rsid w:val="00E216ED"/>
    <w:rsid w:val="00E21E15"/>
    <w:rsid w:val="00E24A7C"/>
    <w:rsid w:val="00E277DD"/>
    <w:rsid w:val="00E27B90"/>
    <w:rsid w:val="00E30675"/>
    <w:rsid w:val="00E513F8"/>
    <w:rsid w:val="00E52328"/>
    <w:rsid w:val="00E5405E"/>
    <w:rsid w:val="00E55F5D"/>
    <w:rsid w:val="00E6107A"/>
    <w:rsid w:val="00E6223A"/>
    <w:rsid w:val="00E63AB3"/>
    <w:rsid w:val="00E73EF0"/>
    <w:rsid w:val="00EA1544"/>
    <w:rsid w:val="00EA19D0"/>
    <w:rsid w:val="00EA2D87"/>
    <w:rsid w:val="00ED54FD"/>
    <w:rsid w:val="00EE4B9C"/>
    <w:rsid w:val="00EF4E88"/>
    <w:rsid w:val="00F02860"/>
    <w:rsid w:val="00F12F45"/>
    <w:rsid w:val="00F24467"/>
    <w:rsid w:val="00F40438"/>
    <w:rsid w:val="00F4432C"/>
    <w:rsid w:val="00F51D09"/>
    <w:rsid w:val="00F55D39"/>
    <w:rsid w:val="00F566B6"/>
    <w:rsid w:val="00F642D1"/>
    <w:rsid w:val="00F6439C"/>
    <w:rsid w:val="00F81738"/>
    <w:rsid w:val="00FA53E0"/>
    <w:rsid w:val="00FA7368"/>
    <w:rsid w:val="00FB1170"/>
    <w:rsid w:val="00FB2AD9"/>
    <w:rsid w:val="00FB796D"/>
    <w:rsid w:val="00FC002D"/>
    <w:rsid w:val="00FD11D4"/>
    <w:rsid w:val="00FD18C2"/>
    <w:rsid w:val="00FD624D"/>
    <w:rsid w:val="00FD77E2"/>
    <w:rsid w:val="00FE4DC5"/>
    <w:rsid w:val="00FE7E45"/>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B252"/>
  <w15:chartTrackingRefBased/>
  <w15:docId w15:val="{D292991A-9E9C-44F3-B721-C6284DAF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E48"/>
    <w:rPr>
      <w:color w:val="0563C1" w:themeColor="hyperlink"/>
      <w:u w:val="single"/>
    </w:rPr>
  </w:style>
  <w:style w:type="character" w:styleId="UnresolvedMention">
    <w:name w:val="Unresolved Mention"/>
    <w:basedOn w:val="DefaultParagraphFont"/>
    <w:uiPriority w:val="99"/>
    <w:semiHidden/>
    <w:unhideWhenUsed/>
    <w:rsid w:val="00297E48"/>
    <w:rPr>
      <w:color w:val="605E5C"/>
      <w:shd w:val="clear" w:color="auto" w:fill="E1DFDD"/>
    </w:rPr>
  </w:style>
  <w:style w:type="table" w:styleId="TableGrid">
    <w:name w:val="Table Grid"/>
    <w:basedOn w:val="TableNormal"/>
    <w:uiPriority w:val="39"/>
    <w:rsid w:val="0029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860"/>
    <w:pPr>
      <w:ind w:left="720"/>
      <w:contextualSpacing/>
    </w:pPr>
  </w:style>
  <w:style w:type="paragraph" w:styleId="BalloonText">
    <w:name w:val="Balloon Text"/>
    <w:basedOn w:val="Normal"/>
    <w:link w:val="BalloonTextChar"/>
    <w:uiPriority w:val="99"/>
    <w:semiHidden/>
    <w:unhideWhenUsed/>
    <w:rsid w:val="00DF4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05251">
      <w:bodyDiv w:val="1"/>
      <w:marLeft w:val="0"/>
      <w:marRight w:val="0"/>
      <w:marTop w:val="0"/>
      <w:marBottom w:val="0"/>
      <w:divBdr>
        <w:top w:val="none" w:sz="0" w:space="0" w:color="auto"/>
        <w:left w:val="none" w:sz="0" w:space="0" w:color="auto"/>
        <w:bottom w:val="none" w:sz="0" w:space="0" w:color="auto"/>
        <w:right w:val="none" w:sz="0" w:space="0" w:color="auto"/>
      </w:divBdr>
    </w:div>
    <w:div w:id="1400594632">
      <w:bodyDiv w:val="1"/>
      <w:marLeft w:val="0"/>
      <w:marRight w:val="0"/>
      <w:marTop w:val="0"/>
      <w:marBottom w:val="0"/>
      <w:divBdr>
        <w:top w:val="none" w:sz="0" w:space="0" w:color="auto"/>
        <w:left w:val="none" w:sz="0" w:space="0" w:color="auto"/>
        <w:bottom w:val="none" w:sz="0" w:space="0" w:color="auto"/>
        <w:right w:val="none" w:sz="0" w:space="0" w:color="auto"/>
      </w:divBdr>
    </w:div>
    <w:div w:id="21408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mirewards.com/nfsb_award_audit"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image" Target="media/image6.gif"/><Relationship Id="rId34" Type="http://schemas.openxmlformats.org/officeDocument/2006/relationships/image" Target="media/image19.jpeg"/><Relationship Id="rId7" Type="http://schemas.openxmlformats.org/officeDocument/2006/relationships/webSettings" Target="webSettings.xml"/><Relationship Id="rId12" Type="http://schemas.openxmlformats.org/officeDocument/2006/relationships/hyperlink" Target="https://stevieawards.com/" TargetMode="External"/><Relationship Id="rId17" Type="http://schemas.openxmlformats.org/officeDocument/2006/relationships/hyperlink" Target="https://www.cxpa.org/about/halloffame/innovation-awards/2019-innovation-awards" TargetMode="External"/><Relationship Id="rId25" Type="http://schemas.openxmlformats.org/officeDocument/2006/relationships/image" Target="media/image10.jpeg"/><Relationship Id="rId33" Type="http://schemas.openxmlformats.org/officeDocument/2006/relationships/image" Target="media/image18.jpg"/><Relationship Id="rId38" Type="http://schemas.openxmlformats.org/officeDocument/2006/relationships/hyperlink" Target="mailto:drivera@crmirewards.com" TargetMode="External"/><Relationship Id="rId2" Type="http://schemas.openxmlformats.org/officeDocument/2006/relationships/customXml" Target="../customXml/item2.xml"/><Relationship Id="rId16" Type="http://schemas.openxmlformats.org/officeDocument/2006/relationships/hyperlink" Target="https://www.customercontactweekdigital.com/events-customercontactweekawards/call-center-week-excellence-awards-applications" TargetMode="External"/><Relationship Id="rId20" Type="http://schemas.openxmlformats.org/officeDocument/2006/relationships/image" Target="media/image5.jp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dpower.com/business/ratings-and-awards" TargetMode="External"/><Relationship Id="rId24" Type="http://schemas.openxmlformats.org/officeDocument/2006/relationships/image" Target="media/image9.jpeg"/><Relationship Id="rId32" Type="http://schemas.openxmlformats.org/officeDocument/2006/relationships/image" Target="media/image17.jpg"/><Relationship Id="rId37" Type="http://schemas.openxmlformats.org/officeDocument/2006/relationships/image" Target="media/image21.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cmi.com/Landings/Campaign/Community/ICMI-Awards"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yperlink" Target="https://www.crmirewards.com/cemdna_playbook_strategy" TargetMode="External"/><Relationship Id="rId10" Type="http://schemas.openxmlformats.org/officeDocument/2006/relationships/hyperlink" Target="https://www.crmirewards.com/nfsb_award_audit" TargetMode="External"/><Relationship Id="rId19" Type="http://schemas.openxmlformats.org/officeDocument/2006/relationships/image" Target="media/image4.jpeg"/><Relationship Id="rId31" Type="http://schemas.openxmlformats.org/officeDocument/2006/relationships/image" Target="media/image16.GI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tsia.com/certifications-and-awards/star-awards"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20.png"/><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2A553E7533743BF619E18480EEFB2" ma:contentTypeVersion="6" ma:contentTypeDescription="Create a new document." ma:contentTypeScope="" ma:versionID="9a7136a51367e007658e36f69f393394">
  <xsd:schema xmlns:xsd="http://www.w3.org/2001/XMLSchema" xmlns:xs="http://www.w3.org/2001/XMLSchema" xmlns:p="http://schemas.microsoft.com/office/2006/metadata/properties" xmlns:ns2="b68ed9fd-ea0e-4d01-a4fa-692d2aba668d" targetNamespace="http://schemas.microsoft.com/office/2006/metadata/properties" ma:root="true" ma:fieldsID="7c71baf39dbd5e18900ae532383acc23" ns2:_="">
    <xsd:import namespace="b68ed9fd-ea0e-4d01-a4fa-692d2aba66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ed9fd-ea0e-4d01-a4fa-692d2aba6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8BAD1-7B59-48FB-9852-45C42B8E4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ed9fd-ea0e-4d01-a4fa-692d2aba6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415A4-52F2-4EBB-94FD-19127792226C}">
  <ds:schemaRefs>
    <ds:schemaRef ds:uri="http://schemas.microsoft.com/sharepoint/v3/contenttype/forms"/>
  </ds:schemaRefs>
</ds:datastoreItem>
</file>

<file path=customXml/itemProps3.xml><?xml version="1.0" encoding="utf-8"?>
<ds:datastoreItem xmlns:ds="http://schemas.openxmlformats.org/officeDocument/2006/customXml" ds:itemID="{DB91CC22-3173-4ABE-9E02-25A26E747F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16927</TotalTime>
  <Pages>3</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Rivera</dc:creator>
  <cp:keywords/>
  <dc:description/>
  <cp:lastModifiedBy>Diane Rivera</cp:lastModifiedBy>
  <cp:revision>20</cp:revision>
  <cp:lastPrinted>2020-10-23T14:48:00Z</cp:lastPrinted>
  <dcterms:created xsi:type="dcterms:W3CDTF">2019-04-17T15:26:00Z</dcterms:created>
  <dcterms:modified xsi:type="dcterms:W3CDTF">2020-10-26T12:28:00Z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0x010100C212A553E7533743BF619E18480EEFB2</vt:lpwstr>
  </property>
</Properties>
</file>